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284"/>
        <w:gridCol w:w="2693"/>
      </w:tblGrid>
      <w:tr w:rsidR="002F5C5E" w:rsidRPr="009E2B84" w:rsidTr="00E467FE">
        <w:trPr>
          <w:gridAfter w:val="1"/>
          <w:wAfter w:w="2693" w:type="dxa"/>
          <w:cantSplit/>
          <w:trHeight w:val="569"/>
        </w:trPr>
        <w:tc>
          <w:tcPr>
            <w:tcW w:w="4786" w:type="dxa"/>
            <w:shd w:val="clear" w:color="auto" w:fill="BFBFBF"/>
            <w:vAlign w:val="center"/>
          </w:tcPr>
          <w:p w:rsidR="002F5C5E" w:rsidRPr="009E2B84" w:rsidRDefault="00641B4A" w:rsidP="000C4A67">
            <w:pPr>
              <w:keepNext/>
              <w:shd w:val="clear" w:color="auto" w:fill="BFBFBF"/>
              <w:ind w:left="426" w:hanging="426"/>
              <w:jc w:val="center"/>
              <w:outlineLvl w:val="0"/>
              <w:rPr>
                <w:b/>
              </w:rPr>
            </w:pPr>
            <w:r>
              <w:rPr>
                <w:noProof/>
              </w:rPr>
              <w:drawing>
                <wp:anchor distT="0" distB="0" distL="114300" distR="114300" simplePos="0" relativeHeight="251657216"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410"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E467FE">
        <w:trPr>
          <w:gridAfter w:val="1"/>
          <w:wAfter w:w="2693" w:type="dxa"/>
          <w:cantSplit/>
          <w:trHeight w:val="654"/>
        </w:trPr>
        <w:tc>
          <w:tcPr>
            <w:tcW w:w="4786" w:type="dxa"/>
            <w:tcBorders>
              <w:bottom w:val="nil"/>
            </w:tcBorders>
            <w:vAlign w:val="center"/>
          </w:tcPr>
          <w:p w:rsidR="002F5C5E" w:rsidRPr="009E2B84" w:rsidRDefault="00EB2D32" w:rsidP="00E467FE">
            <w:pPr>
              <w:jc w:val="center"/>
              <w:rPr>
                <w:b/>
                <w:sz w:val="24"/>
                <w:szCs w:val="24"/>
              </w:rPr>
            </w:pPr>
            <w:r>
              <w:rPr>
                <w:b/>
                <w:sz w:val="24"/>
                <w:szCs w:val="24"/>
              </w:rPr>
              <w:t xml:space="preserve">      </w:t>
            </w:r>
            <w:r w:rsidR="00E467FE">
              <w:rPr>
                <w:b/>
                <w:sz w:val="24"/>
                <w:szCs w:val="24"/>
              </w:rPr>
              <w:t>Governance C</w:t>
            </w:r>
            <w:r>
              <w:rPr>
                <w:b/>
                <w:sz w:val="24"/>
                <w:szCs w:val="24"/>
              </w:rPr>
              <w:t>ommittee</w:t>
            </w:r>
          </w:p>
        </w:tc>
        <w:tc>
          <w:tcPr>
            <w:tcW w:w="2410" w:type="dxa"/>
            <w:gridSpan w:val="2"/>
            <w:tcBorders>
              <w:bottom w:val="nil"/>
            </w:tcBorders>
            <w:vAlign w:val="center"/>
          </w:tcPr>
          <w:p w:rsidR="002F5C5E" w:rsidRPr="00E467FE" w:rsidRDefault="00FF381C" w:rsidP="00FF381C">
            <w:pPr>
              <w:jc w:val="center"/>
              <w:rPr>
                <w:b/>
                <w:szCs w:val="22"/>
              </w:rPr>
            </w:pPr>
            <w:r>
              <w:rPr>
                <w:b/>
                <w:szCs w:val="22"/>
              </w:rPr>
              <w:t>29</w:t>
            </w:r>
            <w:r w:rsidR="005935C0" w:rsidRPr="005935C0">
              <w:rPr>
                <w:b/>
                <w:szCs w:val="22"/>
                <w:vertAlign w:val="superscript"/>
              </w:rPr>
              <w:t>th</w:t>
            </w:r>
            <w:r w:rsidR="005935C0">
              <w:rPr>
                <w:b/>
                <w:szCs w:val="22"/>
              </w:rPr>
              <w:t xml:space="preserve"> </w:t>
            </w:r>
            <w:r>
              <w:rPr>
                <w:b/>
                <w:szCs w:val="22"/>
              </w:rPr>
              <w:t>May</w:t>
            </w:r>
            <w:r w:rsidR="005935C0">
              <w:rPr>
                <w:b/>
                <w:szCs w:val="22"/>
              </w:rPr>
              <w:t xml:space="preserve"> 2</w:t>
            </w:r>
            <w:r w:rsidR="00725FC0">
              <w:rPr>
                <w:b/>
                <w:szCs w:val="22"/>
              </w:rPr>
              <w:t>018</w:t>
            </w:r>
          </w:p>
        </w:tc>
      </w:tr>
      <w:tr w:rsidR="002F5C5E" w:rsidRPr="009E2B84" w:rsidTr="00E467FE">
        <w:trPr>
          <w:gridAfter w:val="1"/>
          <w:wAfter w:w="2693" w:type="dxa"/>
          <w:cantSplit/>
          <w:trHeight w:val="560"/>
        </w:trPr>
        <w:tc>
          <w:tcPr>
            <w:tcW w:w="7196" w:type="dxa"/>
            <w:gridSpan w:val="3"/>
            <w:tcBorders>
              <w:left w:val="nil"/>
              <w:right w:val="nil"/>
            </w:tcBorders>
          </w:tcPr>
          <w:p w:rsidR="002F5C5E" w:rsidRPr="009E2B84" w:rsidRDefault="00E467FE" w:rsidP="003902A2">
            <w:pPr>
              <w:jc w:val="right"/>
              <w:rPr>
                <w:sz w:val="8"/>
              </w:rPr>
            </w:pPr>
            <w:r>
              <w:rPr>
                <w:sz w:val="8"/>
              </w:rPr>
              <w:t xml:space="preserve">External Audit Annual </w:t>
            </w: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315D86" w:rsidRPr="009E2B84" w:rsidTr="00E467FE">
        <w:trPr>
          <w:cantSplit/>
          <w:trHeight w:val="1038"/>
        </w:trPr>
        <w:tc>
          <w:tcPr>
            <w:tcW w:w="6912" w:type="dxa"/>
            <w:gridSpan w:val="2"/>
            <w:vAlign w:val="center"/>
          </w:tcPr>
          <w:p w:rsidR="00315D86" w:rsidRPr="009E2B84" w:rsidRDefault="00AB43EA" w:rsidP="00315D86">
            <w:pPr>
              <w:rPr>
                <w:b/>
              </w:rPr>
            </w:pPr>
            <w:r w:rsidRPr="00AB43EA">
              <w:rPr>
                <w:b/>
              </w:rPr>
              <w:t>Unaudited Statement of Accoun</w:t>
            </w:r>
            <w:r>
              <w:rPr>
                <w:b/>
              </w:rPr>
              <w:t>ts for Year Ending 31 March 20</w:t>
            </w:r>
            <w:r w:rsidR="00315D86">
              <w:rPr>
                <w:b/>
              </w:rPr>
              <w:t>18</w:t>
            </w:r>
          </w:p>
        </w:tc>
        <w:tc>
          <w:tcPr>
            <w:tcW w:w="2977" w:type="dxa"/>
            <w:gridSpan w:val="2"/>
            <w:vAlign w:val="center"/>
          </w:tcPr>
          <w:p w:rsidR="00315D86" w:rsidRPr="00855A80" w:rsidRDefault="00315D86" w:rsidP="00315D86">
            <w:pPr>
              <w:tabs>
                <w:tab w:val="left" w:pos="2839"/>
              </w:tabs>
              <w:rPr>
                <w:b/>
                <w:i/>
              </w:rPr>
            </w:pPr>
            <w:r w:rsidRPr="00855A80">
              <w:rPr>
                <w:rFonts w:cs="Arial"/>
                <w:b/>
              </w:rPr>
              <w:t>Deputy Chief Executive (Resources &amp; Transformation)</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812229">
        <w:trPr>
          <w:trHeight w:val="521"/>
        </w:trPr>
        <w:tc>
          <w:tcPr>
            <w:tcW w:w="6652" w:type="dxa"/>
            <w:shd w:val="clear" w:color="auto" w:fill="auto"/>
          </w:tcPr>
          <w:p w:rsidR="0047741D" w:rsidRDefault="0047741D" w:rsidP="00E2196F">
            <w:pPr>
              <w:rPr>
                <w:szCs w:val="22"/>
              </w:rPr>
            </w:pPr>
          </w:p>
          <w:p w:rsidR="0047741D" w:rsidRDefault="0047741D" w:rsidP="00E2196F">
            <w:pPr>
              <w:rPr>
                <w:szCs w:val="22"/>
              </w:rPr>
            </w:pPr>
            <w:r>
              <w:rPr>
                <w:szCs w:val="22"/>
              </w:rPr>
              <w:t>Is this report confidential?</w:t>
            </w:r>
          </w:p>
          <w:p w:rsidR="00812229" w:rsidRPr="009C1143" w:rsidRDefault="00812229" w:rsidP="00E2196F">
            <w:pPr>
              <w:rPr>
                <w:szCs w:val="22"/>
              </w:rPr>
            </w:pPr>
          </w:p>
        </w:tc>
        <w:tc>
          <w:tcPr>
            <w:tcW w:w="3266" w:type="dxa"/>
            <w:shd w:val="clear" w:color="auto" w:fill="auto"/>
          </w:tcPr>
          <w:p w:rsidR="00812229" w:rsidRDefault="0047741D" w:rsidP="00812229">
            <w:pPr>
              <w:rPr>
                <w:b/>
                <w:szCs w:val="22"/>
              </w:rPr>
            </w:pPr>
            <w:r w:rsidRPr="00F3057A">
              <w:rPr>
                <w:b/>
                <w:szCs w:val="22"/>
              </w:rPr>
              <w:t xml:space="preserve"> </w:t>
            </w:r>
          </w:p>
          <w:p w:rsidR="0047741D" w:rsidRPr="009C1143" w:rsidRDefault="0047741D" w:rsidP="00812229">
            <w:pPr>
              <w:rPr>
                <w:szCs w:val="22"/>
              </w:rPr>
            </w:pPr>
            <w:r w:rsidRPr="00F3057A">
              <w:rPr>
                <w:b/>
                <w:szCs w:val="22"/>
              </w:rPr>
              <w:t xml:space="preserve">No </w:t>
            </w:r>
          </w:p>
        </w:tc>
      </w:tr>
    </w:tbl>
    <w:p w:rsidR="0047741D" w:rsidRDefault="0047741D" w:rsidP="001467CC">
      <w:pPr>
        <w:jc w:val="both"/>
        <w:rPr>
          <w:sz w:val="16"/>
          <w:szCs w:val="16"/>
        </w:rPr>
      </w:pPr>
    </w:p>
    <w:p w:rsidR="00EB2D32" w:rsidRPr="009C1143" w:rsidRDefault="00EB2D32" w:rsidP="001467CC">
      <w:pPr>
        <w:jc w:val="both"/>
        <w:rPr>
          <w:sz w:val="16"/>
          <w:szCs w:val="16"/>
        </w:rPr>
      </w:pPr>
    </w:p>
    <w:p w:rsidR="00812229" w:rsidRDefault="002F5C5E" w:rsidP="001467CC">
      <w:pPr>
        <w:keepNext/>
        <w:numPr>
          <w:ilvl w:val="0"/>
          <w:numId w:val="8"/>
        </w:numPr>
        <w:jc w:val="both"/>
        <w:outlineLvl w:val="0"/>
        <w:rPr>
          <w:b/>
          <w:szCs w:val="22"/>
        </w:rPr>
      </w:pPr>
      <w:r w:rsidRPr="009C1143">
        <w:rPr>
          <w:b/>
          <w:szCs w:val="22"/>
        </w:rPr>
        <w:t xml:space="preserve">PURPOSE OF THE REPORT </w:t>
      </w:r>
    </w:p>
    <w:p w:rsidR="002F5C5E" w:rsidRPr="009C1143" w:rsidRDefault="002F5C5E" w:rsidP="009A79BA">
      <w:pPr>
        <w:keepNext/>
        <w:jc w:val="both"/>
        <w:outlineLvl w:val="0"/>
        <w:rPr>
          <w:b/>
          <w:szCs w:val="22"/>
        </w:rPr>
      </w:pPr>
      <w:r w:rsidRPr="009C1143">
        <w:rPr>
          <w:b/>
          <w:szCs w:val="22"/>
        </w:rPr>
        <w:t xml:space="preserve"> </w:t>
      </w:r>
    </w:p>
    <w:p w:rsidR="00AB43EA" w:rsidRPr="008113D8" w:rsidRDefault="00AB43EA" w:rsidP="009A79BA">
      <w:pPr>
        <w:keepNext/>
        <w:numPr>
          <w:ilvl w:val="1"/>
          <w:numId w:val="8"/>
        </w:numPr>
        <w:ind w:hanging="436"/>
        <w:jc w:val="both"/>
        <w:outlineLvl w:val="0"/>
        <w:rPr>
          <w:b/>
          <w:szCs w:val="22"/>
        </w:rPr>
      </w:pPr>
      <w:r w:rsidRPr="008113D8">
        <w:rPr>
          <w:szCs w:val="22"/>
        </w:rPr>
        <w:t xml:space="preserve">To give members sight of the draft Core Financial Statements </w:t>
      </w:r>
      <w:r w:rsidR="00A34B37">
        <w:rPr>
          <w:szCs w:val="22"/>
        </w:rPr>
        <w:t>along with a brief commentary on the major changes and year on year variations</w:t>
      </w:r>
      <w:r w:rsidRPr="008113D8">
        <w:rPr>
          <w:szCs w:val="22"/>
        </w:rPr>
        <w:t>. These statements will form part of the Council’s year end statutory Stat</w:t>
      </w:r>
      <w:r>
        <w:rPr>
          <w:szCs w:val="22"/>
        </w:rPr>
        <w:t>ement of Accounts (SOA) for 2017/18</w:t>
      </w:r>
      <w:r w:rsidRPr="008113D8">
        <w:rPr>
          <w:szCs w:val="22"/>
        </w:rPr>
        <w:t xml:space="preserve"> which must be signed and authorised for issue by the Chief Finan</w:t>
      </w:r>
      <w:r>
        <w:rPr>
          <w:szCs w:val="22"/>
        </w:rPr>
        <w:t>cial Officer by the 31</w:t>
      </w:r>
      <w:r w:rsidRPr="00AB43EA">
        <w:rPr>
          <w:szCs w:val="22"/>
          <w:vertAlign w:val="superscript"/>
        </w:rPr>
        <w:t>st</w:t>
      </w:r>
      <w:r>
        <w:rPr>
          <w:szCs w:val="22"/>
        </w:rPr>
        <w:t xml:space="preserve"> May 2018</w:t>
      </w:r>
      <w:r w:rsidRPr="008113D8">
        <w:rPr>
          <w:szCs w:val="22"/>
        </w:rPr>
        <w:t>.</w:t>
      </w:r>
    </w:p>
    <w:p w:rsidR="00AB43EA" w:rsidRPr="00921C20" w:rsidRDefault="00AB43EA" w:rsidP="009A79BA">
      <w:pPr>
        <w:keepNext/>
        <w:ind w:left="720"/>
        <w:jc w:val="both"/>
        <w:outlineLvl w:val="0"/>
        <w:rPr>
          <w:rStyle w:val="Emphasis"/>
        </w:rPr>
      </w:pPr>
    </w:p>
    <w:p w:rsidR="006F1494" w:rsidRPr="009C1143" w:rsidRDefault="006F1494" w:rsidP="001467CC">
      <w:pPr>
        <w:ind w:left="360"/>
        <w:jc w:val="both"/>
        <w:rPr>
          <w:szCs w:val="22"/>
        </w:rPr>
      </w:pPr>
    </w:p>
    <w:p w:rsidR="002F5C5E" w:rsidRDefault="002F5C5E" w:rsidP="001467CC">
      <w:pPr>
        <w:keepNext/>
        <w:numPr>
          <w:ilvl w:val="0"/>
          <w:numId w:val="8"/>
        </w:numPr>
        <w:jc w:val="both"/>
        <w:outlineLvl w:val="0"/>
        <w:rPr>
          <w:b/>
          <w:szCs w:val="22"/>
        </w:rPr>
      </w:pPr>
      <w:r w:rsidRPr="009C1143">
        <w:rPr>
          <w:b/>
          <w:szCs w:val="22"/>
        </w:rPr>
        <w:t>RECOMMENDATIONS</w:t>
      </w:r>
    </w:p>
    <w:p w:rsidR="00812229" w:rsidRPr="009C1143" w:rsidRDefault="00812229" w:rsidP="001467CC">
      <w:pPr>
        <w:keepNext/>
        <w:jc w:val="both"/>
        <w:outlineLvl w:val="0"/>
        <w:rPr>
          <w:b/>
          <w:szCs w:val="22"/>
        </w:rPr>
      </w:pPr>
    </w:p>
    <w:p w:rsidR="00812229" w:rsidRPr="001B0F1F" w:rsidRDefault="00AB43EA" w:rsidP="005320E9">
      <w:pPr>
        <w:numPr>
          <w:ilvl w:val="1"/>
          <w:numId w:val="8"/>
        </w:numPr>
        <w:jc w:val="both"/>
        <w:rPr>
          <w:szCs w:val="22"/>
        </w:rPr>
      </w:pPr>
      <w:r>
        <w:rPr>
          <w:szCs w:val="22"/>
        </w:rPr>
        <w:t>Members are asked to note the report</w:t>
      </w:r>
      <w:r w:rsidR="005320E9" w:rsidRPr="005320E9">
        <w:rPr>
          <w:szCs w:val="22"/>
        </w:rPr>
        <w:t>.</w:t>
      </w:r>
    </w:p>
    <w:p w:rsidR="002F5C5E" w:rsidRPr="009C1143" w:rsidRDefault="002F5C5E" w:rsidP="001467CC">
      <w:pPr>
        <w:jc w:val="both"/>
        <w:rPr>
          <w:i/>
          <w:color w:val="2E74B5"/>
          <w:szCs w:val="22"/>
        </w:rPr>
      </w:pPr>
    </w:p>
    <w:p w:rsidR="002F5C5E" w:rsidRPr="009C1143" w:rsidRDefault="002F5C5E" w:rsidP="001467CC">
      <w:pPr>
        <w:jc w:val="both"/>
        <w:rPr>
          <w:sz w:val="16"/>
          <w:szCs w:val="16"/>
        </w:rPr>
      </w:pPr>
    </w:p>
    <w:p w:rsidR="002F5C5E" w:rsidRDefault="002F5C5E" w:rsidP="001467CC">
      <w:pPr>
        <w:keepNext/>
        <w:numPr>
          <w:ilvl w:val="0"/>
          <w:numId w:val="8"/>
        </w:numPr>
        <w:jc w:val="both"/>
        <w:outlineLvl w:val="0"/>
        <w:rPr>
          <w:b/>
          <w:szCs w:val="22"/>
        </w:rPr>
      </w:pPr>
      <w:r w:rsidRPr="009C1143">
        <w:rPr>
          <w:b/>
          <w:szCs w:val="22"/>
        </w:rPr>
        <w:t>CORPORATE PRIORITIES</w:t>
      </w:r>
    </w:p>
    <w:p w:rsidR="00FB6093" w:rsidRPr="009C1143" w:rsidRDefault="00FB6093" w:rsidP="001467CC">
      <w:pPr>
        <w:keepNext/>
        <w:jc w:val="both"/>
        <w:outlineLvl w:val="0"/>
        <w:rPr>
          <w:b/>
          <w:szCs w:val="22"/>
        </w:rPr>
      </w:pPr>
    </w:p>
    <w:p w:rsidR="002F5C5E" w:rsidRDefault="002F5C5E" w:rsidP="001467CC">
      <w:pPr>
        <w:keepNext/>
        <w:ind w:left="360"/>
        <w:jc w:val="both"/>
        <w:outlineLvl w:val="0"/>
        <w:rPr>
          <w:b/>
          <w:szCs w:val="22"/>
        </w:rPr>
      </w:pPr>
      <w:r w:rsidRPr="009C1143">
        <w:rPr>
          <w:szCs w:val="22"/>
        </w:rPr>
        <w:t>The report relates to the following corporate priorities</w:t>
      </w:r>
      <w:r w:rsidRPr="009C1143">
        <w:rPr>
          <w:b/>
          <w:szCs w:val="22"/>
        </w:rPr>
        <w:t xml:space="preserve"> </w:t>
      </w:r>
    </w:p>
    <w:p w:rsidR="00136D96" w:rsidRDefault="00136D96" w:rsidP="001467CC">
      <w:pPr>
        <w:keepNext/>
        <w:ind w:left="360"/>
        <w:jc w:val="both"/>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36D96" w:rsidRPr="008770BE" w:rsidTr="00081531">
        <w:tc>
          <w:tcPr>
            <w:tcW w:w="4423" w:type="dxa"/>
            <w:shd w:val="clear" w:color="auto" w:fill="auto"/>
          </w:tcPr>
          <w:p w:rsidR="00136D96" w:rsidRPr="000828CC" w:rsidRDefault="00136D96" w:rsidP="00081531">
            <w:pPr>
              <w:rPr>
                <w:szCs w:val="22"/>
              </w:rPr>
            </w:pPr>
            <w:r w:rsidRPr="000828CC">
              <w:rPr>
                <w:szCs w:val="22"/>
              </w:rPr>
              <w:t>Excellence and Financial Sustainability</w:t>
            </w:r>
          </w:p>
          <w:p w:rsidR="00136D96" w:rsidRPr="000828CC" w:rsidRDefault="00136D96" w:rsidP="00081531">
            <w:pPr>
              <w:rPr>
                <w:szCs w:val="22"/>
              </w:rPr>
            </w:pPr>
          </w:p>
        </w:tc>
        <w:tc>
          <w:tcPr>
            <w:tcW w:w="850" w:type="dxa"/>
            <w:shd w:val="clear" w:color="auto" w:fill="auto"/>
          </w:tcPr>
          <w:p w:rsidR="00136D96" w:rsidRPr="008770BE" w:rsidRDefault="00136D96" w:rsidP="00081531">
            <w:pPr>
              <w:rPr>
                <w:szCs w:val="22"/>
                <w:highlight w:val="yellow"/>
              </w:rPr>
            </w:pPr>
            <w:r w:rsidRPr="00691A67">
              <w:rPr>
                <w:sz w:val="44"/>
                <w:szCs w:val="44"/>
              </w:rPr>
              <w:sym w:font="Wingdings" w:char="F0FC"/>
            </w:r>
          </w:p>
        </w:tc>
      </w:tr>
      <w:tr w:rsidR="00136D96" w:rsidRPr="008770BE" w:rsidTr="00081531">
        <w:tc>
          <w:tcPr>
            <w:tcW w:w="4423" w:type="dxa"/>
            <w:shd w:val="clear" w:color="auto" w:fill="auto"/>
          </w:tcPr>
          <w:p w:rsidR="00136D96" w:rsidRPr="000828CC" w:rsidRDefault="00136D96" w:rsidP="00081531">
            <w:pPr>
              <w:rPr>
                <w:szCs w:val="22"/>
              </w:rPr>
            </w:pPr>
            <w:r w:rsidRPr="000828CC">
              <w:rPr>
                <w:szCs w:val="22"/>
              </w:rPr>
              <w:t>Health and Wellbeing</w:t>
            </w:r>
          </w:p>
          <w:p w:rsidR="00136D96" w:rsidRPr="000828CC" w:rsidRDefault="00136D96" w:rsidP="00081531">
            <w:pPr>
              <w:rPr>
                <w:szCs w:val="22"/>
              </w:rPr>
            </w:pPr>
          </w:p>
        </w:tc>
        <w:tc>
          <w:tcPr>
            <w:tcW w:w="850" w:type="dxa"/>
            <w:shd w:val="clear" w:color="auto" w:fill="auto"/>
          </w:tcPr>
          <w:p w:rsidR="00136D96" w:rsidRPr="008770BE" w:rsidRDefault="00136D96" w:rsidP="00081531">
            <w:pPr>
              <w:rPr>
                <w:szCs w:val="22"/>
                <w:highlight w:val="yellow"/>
              </w:rPr>
            </w:pPr>
          </w:p>
        </w:tc>
      </w:tr>
      <w:tr w:rsidR="00136D96" w:rsidRPr="009C1143" w:rsidTr="00081531">
        <w:tc>
          <w:tcPr>
            <w:tcW w:w="4423" w:type="dxa"/>
            <w:shd w:val="clear" w:color="auto" w:fill="auto"/>
          </w:tcPr>
          <w:p w:rsidR="00136D96" w:rsidRPr="000828CC" w:rsidRDefault="00136D96" w:rsidP="00081531">
            <w:pPr>
              <w:rPr>
                <w:szCs w:val="22"/>
              </w:rPr>
            </w:pPr>
            <w:r w:rsidRPr="000828CC">
              <w:rPr>
                <w:szCs w:val="22"/>
              </w:rPr>
              <w:t>Place</w:t>
            </w:r>
          </w:p>
          <w:p w:rsidR="00136D96" w:rsidRPr="000828CC" w:rsidRDefault="00136D96" w:rsidP="00081531">
            <w:pPr>
              <w:rPr>
                <w:szCs w:val="22"/>
              </w:rPr>
            </w:pPr>
          </w:p>
        </w:tc>
        <w:tc>
          <w:tcPr>
            <w:tcW w:w="850" w:type="dxa"/>
            <w:shd w:val="clear" w:color="auto" w:fill="auto"/>
          </w:tcPr>
          <w:p w:rsidR="00136D96" w:rsidRPr="009C1143" w:rsidRDefault="00136D96" w:rsidP="00081531">
            <w:pPr>
              <w:rPr>
                <w:szCs w:val="22"/>
              </w:rPr>
            </w:pPr>
          </w:p>
        </w:tc>
      </w:tr>
    </w:tbl>
    <w:p w:rsidR="00136D96" w:rsidRDefault="00136D96" w:rsidP="00136D96"/>
    <w:p w:rsidR="00136D96" w:rsidRDefault="00136D96" w:rsidP="00136D96">
      <w:pPr>
        <w:ind w:firstLine="720"/>
      </w:pPr>
      <w:r>
        <w:t>Projects relating to People in the Corporate Plan:</w:t>
      </w:r>
    </w:p>
    <w:p w:rsidR="00136D96" w:rsidRDefault="00136D96" w:rsidP="00136D96">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36D96" w:rsidRPr="009C1143" w:rsidTr="00081531">
        <w:tc>
          <w:tcPr>
            <w:tcW w:w="4423" w:type="dxa"/>
            <w:shd w:val="clear" w:color="auto" w:fill="auto"/>
          </w:tcPr>
          <w:p w:rsidR="00136D96" w:rsidRDefault="00136D96" w:rsidP="00081531">
            <w:pPr>
              <w:rPr>
                <w:szCs w:val="22"/>
              </w:rPr>
            </w:pPr>
            <w:r>
              <w:rPr>
                <w:szCs w:val="22"/>
              </w:rPr>
              <w:t xml:space="preserve">People </w:t>
            </w:r>
          </w:p>
          <w:p w:rsidR="00136D96" w:rsidRPr="000828CC" w:rsidRDefault="00136D96" w:rsidP="00081531">
            <w:pPr>
              <w:rPr>
                <w:szCs w:val="22"/>
              </w:rPr>
            </w:pPr>
          </w:p>
        </w:tc>
        <w:tc>
          <w:tcPr>
            <w:tcW w:w="850" w:type="dxa"/>
            <w:shd w:val="clear" w:color="auto" w:fill="auto"/>
          </w:tcPr>
          <w:p w:rsidR="00136D96" w:rsidRPr="009C1143" w:rsidRDefault="00136D96" w:rsidP="00081531">
            <w:pPr>
              <w:rPr>
                <w:szCs w:val="22"/>
              </w:rPr>
            </w:pPr>
          </w:p>
        </w:tc>
      </w:tr>
    </w:tbl>
    <w:p w:rsidR="00136D96" w:rsidRPr="009C1143" w:rsidRDefault="00136D96" w:rsidP="001467CC">
      <w:pPr>
        <w:keepNext/>
        <w:ind w:left="360"/>
        <w:jc w:val="both"/>
        <w:outlineLvl w:val="0"/>
        <w:rPr>
          <w:b/>
          <w:szCs w:val="22"/>
        </w:rPr>
      </w:pPr>
    </w:p>
    <w:p w:rsidR="002F5C5E" w:rsidRPr="009C1143" w:rsidRDefault="002F5C5E" w:rsidP="001467CC">
      <w:pPr>
        <w:jc w:val="both"/>
        <w:rPr>
          <w:szCs w:val="22"/>
        </w:rPr>
      </w:pPr>
    </w:p>
    <w:p w:rsidR="005320E9" w:rsidRPr="009C1143" w:rsidRDefault="005320E9" w:rsidP="009A79BA">
      <w:pPr>
        <w:keepNext/>
        <w:numPr>
          <w:ilvl w:val="0"/>
          <w:numId w:val="8"/>
        </w:numPr>
        <w:jc w:val="both"/>
        <w:outlineLvl w:val="0"/>
        <w:rPr>
          <w:b/>
          <w:szCs w:val="22"/>
        </w:rPr>
      </w:pPr>
      <w:r w:rsidRPr="009C1143">
        <w:rPr>
          <w:b/>
          <w:szCs w:val="22"/>
        </w:rPr>
        <w:t>BACKGROUND TO THE REPORT</w:t>
      </w:r>
      <w:r>
        <w:rPr>
          <w:b/>
          <w:szCs w:val="22"/>
        </w:rPr>
        <w:t xml:space="preserve"> – STATEMENT OF ACCOUN</w:t>
      </w:r>
      <w:r w:rsidR="00AB43EA">
        <w:rPr>
          <w:b/>
          <w:szCs w:val="22"/>
        </w:rPr>
        <w:t>S</w:t>
      </w:r>
      <w:r>
        <w:rPr>
          <w:b/>
          <w:szCs w:val="22"/>
        </w:rPr>
        <w:t xml:space="preserve"> </w:t>
      </w:r>
      <w:r w:rsidR="00AB43EA">
        <w:rPr>
          <w:b/>
          <w:szCs w:val="22"/>
        </w:rPr>
        <w:t>FOR YEAR ENDING 31</w:t>
      </w:r>
      <w:r w:rsidR="00AB43EA" w:rsidRPr="00AB43EA">
        <w:rPr>
          <w:b/>
          <w:szCs w:val="22"/>
          <w:vertAlign w:val="superscript"/>
        </w:rPr>
        <w:t>ST</w:t>
      </w:r>
      <w:r w:rsidR="00AB43EA">
        <w:rPr>
          <w:b/>
          <w:szCs w:val="22"/>
        </w:rPr>
        <w:t xml:space="preserve"> MARCH 2018</w:t>
      </w:r>
    </w:p>
    <w:p w:rsidR="005320E9" w:rsidRDefault="005320E9" w:rsidP="009A79BA">
      <w:pPr>
        <w:ind w:left="360"/>
        <w:jc w:val="both"/>
        <w:rPr>
          <w:szCs w:val="22"/>
        </w:rPr>
      </w:pPr>
    </w:p>
    <w:p w:rsidR="00AB43EA" w:rsidRPr="00FD5D6F" w:rsidRDefault="00AB43EA" w:rsidP="009A79BA">
      <w:pPr>
        <w:keepNext/>
        <w:numPr>
          <w:ilvl w:val="1"/>
          <w:numId w:val="8"/>
        </w:numPr>
        <w:ind w:hanging="436"/>
        <w:jc w:val="both"/>
        <w:outlineLvl w:val="0"/>
        <w:rPr>
          <w:rFonts w:cs="Courier New"/>
          <w:szCs w:val="22"/>
        </w:rPr>
      </w:pPr>
      <w:r w:rsidRPr="00FD5D6F">
        <w:rPr>
          <w:rFonts w:cs="Courier New"/>
          <w:szCs w:val="22"/>
        </w:rPr>
        <w:t xml:space="preserve">This report sets out and discusses the </w:t>
      </w:r>
      <w:r w:rsidR="00316AC7">
        <w:rPr>
          <w:rFonts w:cs="Courier New"/>
          <w:szCs w:val="22"/>
        </w:rPr>
        <w:t xml:space="preserve">draft </w:t>
      </w:r>
      <w:r w:rsidRPr="00FD5D6F">
        <w:rPr>
          <w:rFonts w:cs="Courier New"/>
          <w:szCs w:val="22"/>
        </w:rPr>
        <w:t xml:space="preserve">Core Financial Statements </w:t>
      </w:r>
      <w:r>
        <w:rPr>
          <w:rFonts w:cs="Courier New"/>
          <w:szCs w:val="22"/>
        </w:rPr>
        <w:t xml:space="preserve">and other supporting information </w:t>
      </w:r>
      <w:r w:rsidR="00144F07">
        <w:rPr>
          <w:rFonts w:cs="Courier New"/>
          <w:szCs w:val="22"/>
        </w:rPr>
        <w:t>and seeks to bring to the</w:t>
      </w:r>
      <w:r w:rsidRPr="00FD5D6F">
        <w:rPr>
          <w:rFonts w:cs="Courier New"/>
          <w:szCs w:val="22"/>
        </w:rPr>
        <w:t xml:space="preserve"> attention </w:t>
      </w:r>
      <w:r w:rsidR="00144F07">
        <w:rPr>
          <w:rFonts w:cs="Courier New"/>
          <w:szCs w:val="22"/>
        </w:rPr>
        <w:t xml:space="preserve">of the Governance Committee </w:t>
      </w:r>
      <w:r w:rsidRPr="00FD5D6F">
        <w:rPr>
          <w:rFonts w:cs="Courier New"/>
          <w:szCs w:val="22"/>
        </w:rPr>
        <w:t>the significant changes from the previous year. The statements</w:t>
      </w:r>
      <w:r>
        <w:rPr>
          <w:rFonts w:cs="Courier New"/>
          <w:szCs w:val="22"/>
        </w:rPr>
        <w:t xml:space="preserve"> and notes</w:t>
      </w:r>
      <w:r w:rsidRPr="00FD5D6F">
        <w:rPr>
          <w:rFonts w:cs="Courier New"/>
          <w:szCs w:val="22"/>
        </w:rPr>
        <w:t xml:space="preserve"> presented to you are the:-</w:t>
      </w:r>
    </w:p>
    <w:p w:rsidR="00AB43EA" w:rsidRPr="00FD5D6F" w:rsidRDefault="00AB43EA" w:rsidP="009A79BA">
      <w:pPr>
        <w:jc w:val="both"/>
        <w:rPr>
          <w:rFonts w:cs="Courier New"/>
          <w:szCs w:val="22"/>
        </w:rPr>
      </w:pPr>
    </w:p>
    <w:p w:rsidR="00AB43EA" w:rsidRDefault="00AB43EA" w:rsidP="009A79BA">
      <w:pPr>
        <w:numPr>
          <w:ilvl w:val="0"/>
          <w:numId w:val="24"/>
        </w:numPr>
        <w:ind w:hanging="11"/>
        <w:jc w:val="both"/>
        <w:rPr>
          <w:rFonts w:cs="Courier New"/>
          <w:szCs w:val="22"/>
        </w:rPr>
      </w:pPr>
      <w:r>
        <w:rPr>
          <w:rFonts w:cs="Courier New"/>
          <w:szCs w:val="22"/>
        </w:rPr>
        <w:t>Expenditure and Funding Analysis</w:t>
      </w:r>
    </w:p>
    <w:p w:rsidR="00AB43EA" w:rsidRPr="00FD5D6F" w:rsidRDefault="00AB43EA" w:rsidP="009A79BA">
      <w:pPr>
        <w:numPr>
          <w:ilvl w:val="0"/>
          <w:numId w:val="24"/>
        </w:numPr>
        <w:ind w:hanging="11"/>
        <w:jc w:val="both"/>
        <w:rPr>
          <w:rFonts w:cs="Courier New"/>
          <w:szCs w:val="22"/>
        </w:rPr>
      </w:pPr>
      <w:r w:rsidRPr="00FD5D6F">
        <w:rPr>
          <w:rFonts w:cs="Courier New"/>
          <w:szCs w:val="22"/>
        </w:rPr>
        <w:t xml:space="preserve">Comprehensive Income and Expenditure Statement </w:t>
      </w:r>
    </w:p>
    <w:p w:rsidR="00AB43EA" w:rsidRPr="00FD5D6F" w:rsidRDefault="00AB43EA" w:rsidP="009A79BA">
      <w:pPr>
        <w:numPr>
          <w:ilvl w:val="0"/>
          <w:numId w:val="24"/>
        </w:numPr>
        <w:ind w:hanging="11"/>
        <w:jc w:val="both"/>
        <w:rPr>
          <w:rFonts w:cs="Courier New"/>
          <w:szCs w:val="22"/>
        </w:rPr>
      </w:pPr>
      <w:r w:rsidRPr="00FD5D6F">
        <w:rPr>
          <w:rFonts w:cs="Courier New"/>
          <w:szCs w:val="22"/>
        </w:rPr>
        <w:t xml:space="preserve">Movement in Reserves Statement </w:t>
      </w:r>
    </w:p>
    <w:p w:rsidR="00AB43EA" w:rsidRPr="00FD5D6F" w:rsidRDefault="00AB43EA" w:rsidP="009A79BA">
      <w:pPr>
        <w:numPr>
          <w:ilvl w:val="0"/>
          <w:numId w:val="24"/>
        </w:numPr>
        <w:ind w:hanging="11"/>
        <w:jc w:val="both"/>
        <w:rPr>
          <w:rFonts w:cs="Courier New"/>
          <w:szCs w:val="22"/>
        </w:rPr>
      </w:pPr>
      <w:r w:rsidRPr="00FD5D6F">
        <w:rPr>
          <w:rFonts w:cs="Courier New"/>
          <w:szCs w:val="22"/>
        </w:rPr>
        <w:t xml:space="preserve">The Balance Sheet </w:t>
      </w:r>
    </w:p>
    <w:p w:rsidR="00AB43EA" w:rsidRDefault="00AB43EA" w:rsidP="009A79BA">
      <w:pPr>
        <w:numPr>
          <w:ilvl w:val="0"/>
          <w:numId w:val="24"/>
        </w:numPr>
        <w:ind w:hanging="11"/>
        <w:jc w:val="both"/>
        <w:rPr>
          <w:rFonts w:cs="Courier New"/>
          <w:szCs w:val="22"/>
        </w:rPr>
      </w:pPr>
      <w:r w:rsidRPr="00FD5D6F">
        <w:rPr>
          <w:rFonts w:cs="Courier New"/>
          <w:szCs w:val="22"/>
        </w:rPr>
        <w:t xml:space="preserve">Collection Fund Account </w:t>
      </w:r>
    </w:p>
    <w:p w:rsidR="00201C5D" w:rsidRDefault="00201C5D" w:rsidP="009A79BA">
      <w:pPr>
        <w:ind w:left="720"/>
        <w:jc w:val="both"/>
        <w:rPr>
          <w:rFonts w:cs="Courier New"/>
          <w:szCs w:val="22"/>
        </w:rPr>
      </w:pPr>
    </w:p>
    <w:p w:rsidR="00201C5D" w:rsidRDefault="00201C5D" w:rsidP="009A79BA">
      <w:pPr>
        <w:ind w:left="720"/>
        <w:jc w:val="both"/>
        <w:rPr>
          <w:rFonts w:cs="Courier New"/>
          <w:szCs w:val="22"/>
        </w:rPr>
      </w:pPr>
      <w:r>
        <w:rPr>
          <w:rFonts w:cs="Courier New"/>
          <w:szCs w:val="22"/>
        </w:rPr>
        <w:t xml:space="preserve">The cash flow was not available for inclusion in this report by the report </w:t>
      </w:r>
      <w:r w:rsidR="00282E26">
        <w:rPr>
          <w:rFonts w:cs="Courier New"/>
          <w:szCs w:val="22"/>
        </w:rPr>
        <w:t xml:space="preserve">publication </w:t>
      </w:r>
      <w:r>
        <w:rPr>
          <w:rFonts w:cs="Courier New"/>
          <w:szCs w:val="22"/>
        </w:rPr>
        <w:t>deadline</w:t>
      </w:r>
      <w:r w:rsidR="00963D4D">
        <w:rPr>
          <w:rFonts w:cs="Courier New"/>
          <w:szCs w:val="22"/>
        </w:rPr>
        <w:t xml:space="preserve"> but will be available in advance of the </w:t>
      </w:r>
      <w:r w:rsidR="00144F07">
        <w:rPr>
          <w:rFonts w:cs="Courier New"/>
          <w:szCs w:val="22"/>
        </w:rPr>
        <w:t>statutory publication date of 31 May 2018.</w:t>
      </w:r>
    </w:p>
    <w:p w:rsidR="00144F07" w:rsidRPr="00FD5D6F" w:rsidRDefault="00144F07" w:rsidP="009A79BA">
      <w:pPr>
        <w:ind w:left="720"/>
        <w:jc w:val="both"/>
        <w:rPr>
          <w:rFonts w:cs="Courier New"/>
          <w:szCs w:val="22"/>
        </w:rPr>
      </w:pPr>
    </w:p>
    <w:p w:rsidR="00144F07" w:rsidRPr="00201C5D" w:rsidRDefault="00144F07" w:rsidP="00144F07">
      <w:pPr>
        <w:pStyle w:val="ListParagraph"/>
        <w:numPr>
          <w:ilvl w:val="1"/>
          <w:numId w:val="8"/>
        </w:numPr>
        <w:jc w:val="both"/>
        <w:rPr>
          <w:rFonts w:ascii="Arial" w:eastAsia="Times New Roman" w:hAnsi="Arial" w:cs="Courier New"/>
          <w:lang w:eastAsia="en-GB"/>
        </w:rPr>
      </w:pPr>
      <w:r w:rsidRPr="00201C5D">
        <w:rPr>
          <w:rFonts w:ascii="Arial" w:eastAsia="Times New Roman" w:hAnsi="Arial" w:cs="Courier New"/>
          <w:lang w:eastAsia="en-GB"/>
        </w:rPr>
        <w:t xml:space="preserve">The </w:t>
      </w:r>
      <w:r>
        <w:rPr>
          <w:rFonts w:ascii="Arial" w:eastAsia="Times New Roman" w:hAnsi="Arial" w:cs="Courier New"/>
          <w:lang w:eastAsia="en-GB"/>
        </w:rPr>
        <w:t xml:space="preserve">council’s Statement of Accounts reflect the </w:t>
      </w:r>
      <w:r w:rsidRPr="00201C5D">
        <w:rPr>
          <w:rFonts w:ascii="Arial" w:eastAsia="Times New Roman" w:hAnsi="Arial" w:cs="Courier New"/>
          <w:lang w:eastAsia="en-GB"/>
        </w:rPr>
        <w:t>changes required as part of the updated CIPFA Code of Practice on Local Authority Accounting in the United Kingdom 2017/18</w:t>
      </w:r>
      <w:r>
        <w:rPr>
          <w:rFonts w:ascii="Arial" w:eastAsia="Times New Roman" w:hAnsi="Arial" w:cs="Courier New"/>
          <w:lang w:eastAsia="en-GB"/>
        </w:rPr>
        <w:t>.  These are</w:t>
      </w:r>
      <w:r w:rsidRPr="00201C5D">
        <w:rPr>
          <w:rFonts w:ascii="Arial" w:eastAsia="Times New Roman" w:hAnsi="Arial" w:cs="Courier New"/>
          <w:lang w:eastAsia="en-GB"/>
        </w:rPr>
        <w:t xml:space="preserve"> relatively straightforward when compared to the large number of changes </w:t>
      </w:r>
      <w:r>
        <w:rPr>
          <w:rFonts w:ascii="Arial" w:eastAsia="Times New Roman" w:hAnsi="Arial" w:cs="Courier New"/>
          <w:lang w:eastAsia="en-GB"/>
        </w:rPr>
        <w:t>required to the statements for 2016/17. The</w:t>
      </w:r>
      <w:r w:rsidRPr="00201C5D">
        <w:rPr>
          <w:rFonts w:ascii="Arial" w:eastAsia="Times New Roman" w:hAnsi="Arial" w:cs="Courier New"/>
          <w:lang w:eastAsia="en-GB"/>
        </w:rPr>
        <w:t xml:space="preserve"> changes, and the action required to ensure compliance with the Code</w:t>
      </w:r>
      <w:r>
        <w:rPr>
          <w:rFonts w:ascii="Arial" w:eastAsia="Times New Roman" w:hAnsi="Arial" w:cs="Courier New"/>
          <w:lang w:eastAsia="en-GB"/>
        </w:rPr>
        <w:t>,</w:t>
      </w:r>
      <w:r w:rsidRPr="00201C5D">
        <w:rPr>
          <w:rFonts w:ascii="Arial" w:eastAsia="Times New Roman" w:hAnsi="Arial" w:cs="Courier New"/>
          <w:lang w:eastAsia="en-GB"/>
        </w:rPr>
        <w:t xml:space="preserve"> were reported to Gover</w:t>
      </w:r>
      <w:r>
        <w:rPr>
          <w:rFonts w:ascii="Arial" w:eastAsia="Times New Roman" w:hAnsi="Arial" w:cs="Courier New"/>
          <w:lang w:eastAsia="en-GB"/>
        </w:rPr>
        <w:t>nance on the 31st January 2018.  The changes were primarily clarifications of the requirements in relation to the ‘going concern’ basis of reporting and the introduction of a principles based approach to Narrative Reporting.</w:t>
      </w:r>
    </w:p>
    <w:p w:rsidR="00AB43EA" w:rsidRPr="00FD5D6F" w:rsidRDefault="00AB43EA" w:rsidP="009A79BA">
      <w:pPr>
        <w:ind w:left="349"/>
        <w:jc w:val="both"/>
        <w:rPr>
          <w:rFonts w:cs="Courier New"/>
          <w:szCs w:val="22"/>
        </w:rPr>
      </w:pPr>
    </w:p>
    <w:p w:rsidR="00760351" w:rsidRDefault="00201C5D" w:rsidP="009A79BA">
      <w:pPr>
        <w:keepNext/>
        <w:numPr>
          <w:ilvl w:val="1"/>
          <w:numId w:val="8"/>
        </w:numPr>
        <w:jc w:val="both"/>
        <w:outlineLvl w:val="0"/>
      </w:pPr>
      <w:r>
        <w:t>The</w:t>
      </w:r>
      <w:r w:rsidR="00AB43EA" w:rsidRPr="00D07335">
        <w:t xml:space="preserve"> </w:t>
      </w:r>
      <w:r w:rsidR="00316AC7">
        <w:t xml:space="preserve">draft </w:t>
      </w:r>
      <w:r w:rsidR="0069689F">
        <w:t>core financial statements</w:t>
      </w:r>
      <w:r w:rsidR="00AB43EA" w:rsidRPr="00D07335">
        <w:t xml:space="preserve"> </w:t>
      </w:r>
      <w:r w:rsidR="0069689F">
        <w:t>show</w:t>
      </w:r>
      <w:r w:rsidR="00AB43EA" w:rsidRPr="00D07335">
        <w:t xml:space="preserve"> the Council’s year-end financial position as presented in the Statement of Accounts for 201</w:t>
      </w:r>
      <w:r w:rsidR="00AB43EA">
        <w:t>7/18</w:t>
      </w:r>
      <w:r w:rsidR="00AB43EA" w:rsidRPr="00D07335">
        <w:t xml:space="preserve">. </w:t>
      </w:r>
      <w:r w:rsidR="0069689F">
        <w:t>This report</w:t>
      </w:r>
      <w:r w:rsidR="00AB43EA" w:rsidRPr="00D07335">
        <w:t xml:space="preserve"> does not make detailed comparisons between actual revenue and capital expenditure compared to budgeted expenditure for 201</w:t>
      </w:r>
      <w:r w:rsidR="00AB43EA">
        <w:t>7/18</w:t>
      </w:r>
      <w:r w:rsidR="00760351">
        <w:t xml:space="preserve"> but provides a comparison from the 2017/18 financial year to the previous financial year.  The </w:t>
      </w:r>
      <w:r w:rsidR="00AB43EA">
        <w:t>Budget</w:t>
      </w:r>
      <w:r w:rsidR="00AB43EA" w:rsidRPr="00D07335">
        <w:t xml:space="preserve"> </w:t>
      </w:r>
      <w:r w:rsidR="00AB43EA">
        <w:t>O</w:t>
      </w:r>
      <w:r w:rsidR="00AB43EA" w:rsidRPr="00D07335">
        <w:t>utturn report for 201</w:t>
      </w:r>
      <w:r w:rsidR="00AB43EA">
        <w:t>7/18</w:t>
      </w:r>
      <w:r w:rsidR="00AB43EA" w:rsidRPr="00D07335">
        <w:t xml:space="preserve"> is </w:t>
      </w:r>
      <w:r w:rsidR="00AB43EA">
        <w:t>elsewhere on the agenda</w:t>
      </w:r>
      <w:r w:rsidR="00760351">
        <w:t xml:space="preserve"> and concludes the financial monitoring and reporting activity that has been reported to the Governance Committee throughout the year.</w:t>
      </w:r>
    </w:p>
    <w:p w:rsidR="00044B96" w:rsidRPr="00B016D2" w:rsidRDefault="00760351" w:rsidP="00B016D2">
      <w:pPr>
        <w:keepNext/>
        <w:ind w:left="360"/>
        <w:jc w:val="both"/>
        <w:outlineLvl w:val="0"/>
      </w:pPr>
      <w:r>
        <w:t xml:space="preserve">  </w:t>
      </w:r>
    </w:p>
    <w:p w:rsidR="0069689F" w:rsidRDefault="0069689F" w:rsidP="0069689F">
      <w:pPr>
        <w:ind w:left="993" w:hanging="284"/>
        <w:rPr>
          <w:b/>
          <w:szCs w:val="22"/>
        </w:rPr>
      </w:pPr>
    </w:p>
    <w:p w:rsidR="00201C5D" w:rsidRPr="00E67421" w:rsidRDefault="00E67421" w:rsidP="007A316A">
      <w:pPr>
        <w:keepNext/>
        <w:numPr>
          <w:ilvl w:val="0"/>
          <w:numId w:val="8"/>
        </w:numPr>
        <w:outlineLvl w:val="0"/>
        <w:rPr>
          <w:b/>
          <w:szCs w:val="22"/>
        </w:rPr>
      </w:pPr>
      <w:r w:rsidRPr="00E67421">
        <w:rPr>
          <w:rFonts w:cs="Arial"/>
          <w:b/>
          <w:szCs w:val="22"/>
        </w:rPr>
        <w:t xml:space="preserve">PRESENTATION </w:t>
      </w:r>
      <w:r w:rsidR="00201C5D" w:rsidRPr="00E67421">
        <w:rPr>
          <w:rFonts w:cs="Arial"/>
          <w:b/>
          <w:szCs w:val="22"/>
        </w:rPr>
        <w:t>OF THE DRAFT CORE FINANCIAL STATEMENTS 201</w:t>
      </w:r>
      <w:r w:rsidR="00282E26" w:rsidRPr="00E67421">
        <w:rPr>
          <w:rFonts w:cs="Arial"/>
          <w:b/>
          <w:szCs w:val="22"/>
        </w:rPr>
        <w:t>7/18</w:t>
      </w:r>
      <w:r w:rsidR="00201C5D" w:rsidRPr="00E67421">
        <w:rPr>
          <w:rFonts w:cs="Arial"/>
          <w:b/>
          <w:szCs w:val="22"/>
        </w:rPr>
        <w:t xml:space="preserve"> </w:t>
      </w:r>
    </w:p>
    <w:p w:rsidR="00E67421" w:rsidRPr="00E67421" w:rsidRDefault="00E67421" w:rsidP="00E67421">
      <w:pPr>
        <w:keepNext/>
        <w:ind w:left="360"/>
        <w:outlineLvl w:val="0"/>
        <w:rPr>
          <w:b/>
          <w:szCs w:val="22"/>
        </w:rPr>
      </w:pPr>
    </w:p>
    <w:p w:rsidR="00282E26" w:rsidRDefault="00282E26" w:rsidP="00282E26">
      <w:pPr>
        <w:keepNext/>
        <w:numPr>
          <w:ilvl w:val="1"/>
          <w:numId w:val="8"/>
        </w:numPr>
        <w:jc w:val="both"/>
        <w:outlineLvl w:val="0"/>
        <w:rPr>
          <w:rFonts w:cs="Arial"/>
          <w:szCs w:val="22"/>
        </w:rPr>
      </w:pPr>
      <w:r>
        <w:rPr>
          <w:rFonts w:cs="Arial"/>
          <w:szCs w:val="22"/>
        </w:rPr>
        <w:t>Due to the earl</w:t>
      </w:r>
      <w:r w:rsidR="0069689F">
        <w:rPr>
          <w:rFonts w:cs="Arial"/>
          <w:szCs w:val="22"/>
        </w:rPr>
        <w:t>ier</w:t>
      </w:r>
      <w:r>
        <w:rPr>
          <w:rFonts w:cs="Arial"/>
          <w:szCs w:val="22"/>
        </w:rPr>
        <w:t xml:space="preserve"> deadline for producing the Statement of Accounts 2017/18</w:t>
      </w:r>
      <w:r w:rsidR="0069689F">
        <w:rPr>
          <w:rFonts w:cs="Arial"/>
          <w:szCs w:val="22"/>
        </w:rPr>
        <w:t>,</w:t>
      </w:r>
      <w:r>
        <w:rPr>
          <w:rFonts w:cs="Arial"/>
          <w:szCs w:val="22"/>
        </w:rPr>
        <w:t xml:space="preserve"> </w:t>
      </w:r>
      <w:r w:rsidR="0069689F">
        <w:rPr>
          <w:rFonts w:cs="Arial"/>
          <w:szCs w:val="22"/>
        </w:rPr>
        <w:t>and the fact this</w:t>
      </w:r>
      <w:r>
        <w:rPr>
          <w:rFonts w:cs="Arial"/>
          <w:szCs w:val="22"/>
        </w:rPr>
        <w:t xml:space="preserve"> committee</w:t>
      </w:r>
      <w:r w:rsidR="00E67421">
        <w:rPr>
          <w:rFonts w:cs="Arial"/>
          <w:szCs w:val="22"/>
        </w:rPr>
        <w:t>’s</w:t>
      </w:r>
      <w:r>
        <w:rPr>
          <w:rFonts w:cs="Arial"/>
          <w:szCs w:val="22"/>
        </w:rPr>
        <w:t xml:space="preserve"> repo</w:t>
      </w:r>
      <w:r w:rsidR="00B016D2">
        <w:rPr>
          <w:rFonts w:cs="Arial"/>
          <w:szCs w:val="22"/>
        </w:rPr>
        <w:t>rt publication deadline is earlier</w:t>
      </w:r>
      <w:r>
        <w:rPr>
          <w:rFonts w:cs="Arial"/>
          <w:szCs w:val="22"/>
        </w:rPr>
        <w:t xml:space="preserve"> than the </w:t>
      </w:r>
      <w:r w:rsidR="009A79BA">
        <w:rPr>
          <w:rFonts w:cs="Arial"/>
          <w:szCs w:val="22"/>
        </w:rPr>
        <w:t xml:space="preserve">statutory </w:t>
      </w:r>
      <w:r>
        <w:rPr>
          <w:rFonts w:cs="Arial"/>
          <w:szCs w:val="22"/>
        </w:rPr>
        <w:t>deadline for finalising the Statement of Accounts</w:t>
      </w:r>
      <w:r w:rsidR="0069689F">
        <w:rPr>
          <w:rFonts w:cs="Arial"/>
          <w:szCs w:val="22"/>
        </w:rPr>
        <w:t>,</w:t>
      </w:r>
      <w:r>
        <w:rPr>
          <w:rFonts w:cs="Arial"/>
          <w:szCs w:val="22"/>
        </w:rPr>
        <w:t xml:space="preserve"> it is not possible to analyse each individual statement in </w:t>
      </w:r>
      <w:r w:rsidR="0099287A">
        <w:rPr>
          <w:rFonts w:cs="Arial"/>
          <w:szCs w:val="22"/>
        </w:rPr>
        <w:t xml:space="preserve">quite as much </w:t>
      </w:r>
      <w:r>
        <w:rPr>
          <w:rFonts w:cs="Arial"/>
          <w:szCs w:val="22"/>
        </w:rPr>
        <w:t>detail as has bee</w:t>
      </w:r>
      <w:r w:rsidR="00B016D2">
        <w:rPr>
          <w:rFonts w:cs="Arial"/>
          <w:szCs w:val="22"/>
        </w:rPr>
        <w:t>n the practice in previous year</w:t>
      </w:r>
      <w:r>
        <w:rPr>
          <w:rFonts w:cs="Arial"/>
          <w:szCs w:val="22"/>
        </w:rPr>
        <w:t>s. Instead this detailed analysis will be provided at the Members Learning Hour on the 19</w:t>
      </w:r>
      <w:r w:rsidRPr="00282E26">
        <w:rPr>
          <w:rFonts w:cs="Arial"/>
          <w:szCs w:val="22"/>
          <w:vertAlign w:val="superscript"/>
        </w:rPr>
        <w:t>th</w:t>
      </w:r>
      <w:r>
        <w:rPr>
          <w:rFonts w:cs="Arial"/>
          <w:szCs w:val="22"/>
        </w:rPr>
        <w:t xml:space="preserve"> June.</w:t>
      </w:r>
      <w:r w:rsidR="00B016D2">
        <w:rPr>
          <w:rFonts w:cs="Arial"/>
          <w:szCs w:val="22"/>
        </w:rPr>
        <w:t xml:space="preserve">  </w:t>
      </w:r>
    </w:p>
    <w:p w:rsidR="00282E26" w:rsidRDefault="00282E26" w:rsidP="00282E26">
      <w:pPr>
        <w:keepNext/>
        <w:ind w:left="720"/>
        <w:jc w:val="both"/>
        <w:outlineLvl w:val="0"/>
        <w:rPr>
          <w:rFonts w:cs="Arial"/>
          <w:szCs w:val="22"/>
        </w:rPr>
      </w:pPr>
    </w:p>
    <w:p w:rsidR="00282E26" w:rsidRDefault="00E67421" w:rsidP="00282E26">
      <w:pPr>
        <w:keepNext/>
        <w:numPr>
          <w:ilvl w:val="1"/>
          <w:numId w:val="8"/>
        </w:numPr>
        <w:jc w:val="both"/>
        <w:outlineLvl w:val="0"/>
        <w:rPr>
          <w:rFonts w:cs="Arial"/>
          <w:szCs w:val="22"/>
        </w:rPr>
      </w:pPr>
      <w:r>
        <w:rPr>
          <w:rFonts w:cs="Arial"/>
          <w:szCs w:val="22"/>
        </w:rPr>
        <w:t>I</w:t>
      </w:r>
      <w:r w:rsidR="00B016D2">
        <w:rPr>
          <w:rFonts w:cs="Arial"/>
          <w:szCs w:val="22"/>
        </w:rPr>
        <w:t>n</w:t>
      </w:r>
      <w:r w:rsidR="00B016D2" w:rsidRPr="00B016D2">
        <w:rPr>
          <w:rFonts w:cs="Arial"/>
          <w:szCs w:val="22"/>
        </w:rPr>
        <w:t xml:space="preserve"> </w:t>
      </w:r>
      <w:r w:rsidR="00B016D2">
        <w:rPr>
          <w:rFonts w:cs="Arial"/>
          <w:szCs w:val="22"/>
        </w:rPr>
        <w:t xml:space="preserve">advance of that meeting however, the </w:t>
      </w:r>
      <w:r w:rsidR="00B016D2">
        <w:rPr>
          <w:rFonts w:cs="Arial"/>
          <w:szCs w:val="22"/>
        </w:rPr>
        <w:t xml:space="preserve">core </w:t>
      </w:r>
      <w:r w:rsidR="00B016D2">
        <w:rPr>
          <w:rFonts w:cs="Arial"/>
          <w:szCs w:val="22"/>
        </w:rPr>
        <w:t>financial statements and a brief overview are set out in this report.</w:t>
      </w:r>
      <w:r w:rsidR="00A21479">
        <w:rPr>
          <w:rFonts w:cs="Arial"/>
          <w:szCs w:val="22"/>
        </w:rPr>
        <w:t xml:space="preserve">  It must however</w:t>
      </w:r>
      <w:r>
        <w:rPr>
          <w:rFonts w:cs="Arial"/>
          <w:szCs w:val="22"/>
        </w:rPr>
        <w:t xml:space="preserve"> be stressed that these are the draft core financial statements as at 11</w:t>
      </w:r>
      <w:r w:rsidRPr="00E67421">
        <w:rPr>
          <w:rFonts w:cs="Arial"/>
          <w:szCs w:val="22"/>
          <w:vertAlign w:val="superscript"/>
        </w:rPr>
        <w:t>th</w:t>
      </w:r>
      <w:r>
        <w:rPr>
          <w:rFonts w:cs="Arial"/>
          <w:szCs w:val="22"/>
        </w:rPr>
        <w:t xml:space="preserve"> May 2018 and may be subject to change between now and the authorisation for issue by the Chief Financial Officer by 31</w:t>
      </w:r>
      <w:r w:rsidRPr="00E67421">
        <w:rPr>
          <w:rFonts w:cs="Arial"/>
          <w:szCs w:val="22"/>
          <w:vertAlign w:val="superscript"/>
        </w:rPr>
        <w:t>st</w:t>
      </w:r>
      <w:r>
        <w:rPr>
          <w:rFonts w:cs="Arial"/>
          <w:szCs w:val="22"/>
        </w:rPr>
        <w:t xml:space="preserve"> May.</w:t>
      </w:r>
    </w:p>
    <w:p w:rsidR="00201C5D" w:rsidRDefault="00201C5D" w:rsidP="00201C5D">
      <w:pPr>
        <w:keepNext/>
        <w:outlineLvl w:val="0"/>
        <w:rPr>
          <w:b/>
          <w:szCs w:val="22"/>
        </w:rPr>
      </w:pPr>
    </w:p>
    <w:p w:rsidR="00201C5D" w:rsidRPr="001D3551" w:rsidRDefault="00201C5D" w:rsidP="00201C5D">
      <w:pPr>
        <w:pBdr>
          <w:top w:val="single" w:sz="2" w:space="1" w:color="FFFFFF"/>
          <w:left w:val="single" w:sz="2" w:space="0" w:color="FFFFFF"/>
          <w:bottom w:val="single" w:sz="2" w:space="2" w:color="FFFFFF"/>
          <w:right w:val="single" w:sz="2" w:space="4" w:color="FFFFFF"/>
        </w:pBdr>
        <w:tabs>
          <w:tab w:val="left" w:pos="567"/>
        </w:tabs>
        <w:ind w:right="141"/>
        <w:jc w:val="both"/>
        <w:rPr>
          <w:u w:val="single"/>
          <w:lang w:eastAsia="en-US"/>
        </w:rPr>
      </w:pPr>
      <w:r>
        <w:rPr>
          <w:u w:val="single"/>
          <w:lang w:eastAsia="en-US"/>
        </w:rPr>
        <w:t>Expenditure and Funding Analysis</w:t>
      </w:r>
    </w:p>
    <w:p w:rsidR="00201C5D" w:rsidRPr="001D3551" w:rsidRDefault="00201C5D" w:rsidP="00201C5D">
      <w:pPr>
        <w:rPr>
          <w:rFonts w:cs="Courier New"/>
          <w:szCs w:val="22"/>
        </w:rPr>
      </w:pPr>
    </w:p>
    <w:p w:rsidR="00201C5D" w:rsidRDefault="00201C5D" w:rsidP="00201C5D">
      <w:pPr>
        <w:keepNext/>
        <w:numPr>
          <w:ilvl w:val="1"/>
          <w:numId w:val="8"/>
        </w:numPr>
        <w:ind w:hanging="436"/>
        <w:jc w:val="both"/>
        <w:outlineLvl w:val="0"/>
        <w:rPr>
          <w:rFonts w:cs="Arial"/>
          <w:szCs w:val="22"/>
        </w:rPr>
      </w:pPr>
      <w:r>
        <w:rPr>
          <w:rFonts w:cs="Arial"/>
          <w:szCs w:val="22"/>
        </w:rPr>
        <w:t>This new note was introduced in the 2016/17 Statement of Accounts</w:t>
      </w:r>
      <w:r w:rsidRPr="007278D1">
        <w:t xml:space="preserve"> </w:t>
      </w:r>
      <w:r w:rsidRPr="007278D1">
        <w:rPr>
          <w:rFonts w:cs="Arial"/>
          <w:szCs w:val="22"/>
        </w:rPr>
        <w:t xml:space="preserve">to reconcile the Council’s financial performance based on the General Fund </w:t>
      </w:r>
      <w:r>
        <w:rPr>
          <w:rFonts w:cs="Arial"/>
          <w:szCs w:val="22"/>
        </w:rPr>
        <w:t xml:space="preserve">Balance </w:t>
      </w:r>
      <w:r w:rsidRPr="007278D1">
        <w:rPr>
          <w:rFonts w:cs="Arial"/>
          <w:szCs w:val="22"/>
        </w:rPr>
        <w:t>to the Surplus and Deficit on the Provision of Services in the Comprehensive Income and Expenditure Statement</w:t>
      </w:r>
      <w:r>
        <w:rPr>
          <w:rFonts w:cs="Arial"/>
          <w:szCs w:val="22"/>
        </w:rPr>
        <w:t>.</w:t>
      </w:r>
    </w:p>
    <w:p w:rsidR="00201C5D" w:rsidRDefault="00201C5D" w:rsidP="00201C5D">
      <w:pPr>
        <w:keepNext/>
        <w:ind w:left="720"/>
        <w:jc w:val="both"/>
        <w:outlineLvl w:val="0"/>
        <w:rPr>
          <w:rFonts w:cs="Arial"/>
          <w:szCs w:val="22"/>
        </w:rPr>
      </w:pPr>
    </w:p>
    <w:p w:rsidR="00201C5D" w:rsidRDefault="00201C5D" w:rsidP="00EC6A7B">
      <w:pPr>
        <w:keepNext/>
        <w:numPr>
          <w:ilvl w:val="1"/>
          <w:numId w:val="8"/>
        </w:numPr>
        <w:ind w:hanging="436"/>
        <w:jc w:val="both"/>
        <w:outlineLvl w:val="0"/>
        <w:rPr>
          <w:rFonts w:cs="Arial"/>
          <w:szCs w:val="22"/>
        </w:rPr>
      </w:pPr>
      <w:r w:rsidRPr="0099287A">
        <w:rPr>
          <w:rFonts w:cs="Arial"/>
          <w:szCs w:val="22"/>
        </w:rPr>
        <w:t>The Expenditure and Funding Analysis (EFA) shows how annual expenditure is used and funded from resources (government grants, rents, council tax and business rates) by local authorities in comparison with those resources consumed or earned by authorities in accordance with generally accepted accounting practices. It also shows how this expenditure is allocated for decision making purposes between the council’s directorates.</w:t>
      </w:r>
    </w:p>
    <w:p w:rsidR="0099287A" w:rsidRPr="0099287A" w:rsidRDefault="0099287A" w:rsidP="0099287A">
      <w:pPr>
        <w:keepNext/>
        <w:jc w:val="both"/>
        <w:outlineLvl w:val="0"/>
        <w:rPr>
          <w:rFonts w:cs="Arial"/>
          <w:szCs w:val="22"/>
        </w:rPr>
      </w:pPr>
    </w:p>
    <w:p w:rsidR="00201C5D" w:rsidRDefault="00201C5D" w:rsidP="007A316A">
      <w:pPr>
        <w:keepNext/>
        <w:numPr>
          <w:ilvl w:val="1"/>
          <w:numId w:val="8"/>
        </w:numPr>
        <w:ind w:hanging="436"/>
        <w:jc w:val="both"/>
        <w:outlineLvl w:val="0"/>
        <w:rPr>
          <w:rFonts w:cs="Arial"/>
          <w:szCs w:val="22"/>
        </w:rPr>
      </w:pPr>
      <w:r w:rsidRPr="00E67421">
        <w:rPr>
          <w:rFonts w:cs="Arial"/>
          <w:szCs w:val="22"/>
        </w:rPr>
        <w:t>Income and expenditure accounted for under generally accepted accounting practices is presented more fully in the Comprehensive Income and Expenditure Statement (CIES).</w:t>
      </w:r>
    </w:p>
    <w:p w:rsidR="00E67421" w:rsidRPr="00E67421" w:rsidRDefault="00E67421" w:rsidP="00E67421">
      <w:pPr>
        <w:keepNext/>
        <w:jc w:val="both"/>
        <w:outlineLvl w:val="0"/>
        <w:rPr>
          <w:rFonts w:cs="Arial"/>
          <w:szCs w:val="22"/>
        </w:rPr>
      </w:pPr>
    </w:p>
    <w:p w:rsidR="00201C5D" w:rsidRPr="001D3551" w:rsidRDefault="00201C5D" w:rsidP="00201C5D">
      <w:pPr>
        <w:keepNext/>
        <w:jc w:val="both"/>
        <w:outlineLvl w:val="0"/>
        <w:rPr>
          <w:rFonts w:cs="Arial"/>
          <w:color w:val="FF0000"/>
          <w:szCs w:val="22"/>
        </w:rPr>
      </w:pPr>
    </w:p>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7"/>
        <w:gridCol w:w="907"/>
        <w:gridCol w:w="907"/>
        <w:gridCol w:w="4196"/>
        <w:gridCol w:w="907"/>
        <w:gridCol w:w="907"/>
        <w:gridCol w:w="907"/>
      </w:tblGrid>
      <w:tr w:rsidR="00201C5D" w:rsidRPr="00EC06E7" w:rsidTr="00081531">
        <w:trPr>
          <w:cantSplit/>
          <w:trHeight w:val="315"/>
          <w:jc w:val="center"/>
        </w:trPr>
        <w:tc>
          <w:tcPr>
            <w:tcW w:w="2721" w:type="dxa"/>
            <w:gridSpan w:val="3"/>
            <w:tcBorders>
              <w:top w:val="single" w:sz="4" w:space="0" w:color="auto"/>
              <w:left w:val="single" w:sz="4" w:space="0" w:color="auto"/>
              <w:bottom w:val="nil"/>
              <w:right w:val="single" w:sz="4" w:space="0" w:color="auto"/>
            </w:tcBorders>
            <w:shd w:val="clear" w:color="auto" w:fill="BDD6EE" w:themeFill="accent1" w:themeFillTint="66"/>
            <w:vAlign w:val="center"/>
          </w:tcPr>
          <w:p w:rsidR="00201C5D" w:rsidRPr="00EC06E7" w:rsidRDefault="00201C5D" w:rsidP="00081531">
            <w:pPr>
              <w:jc w:val="center"/>
              <w:rPr>
                <w:rFonts w:cs="Courier New"/>
                <w:b/>
                <w:sz w:val="18"/>
                <w:szCs w:val="22"/>
              </w:rPr>
            </w:pPr>
            <w:r>
              <w:rPr>
                <w:rFonts w:cs="Courier New"/>
                <w:b/>
                <w:sz w:val="18"/>
                <w:szCs w:val="22"/>
              </w:rPr>
              <w:t>2016/17</w:t>
            </w:r>
          </w:p>
        </w:tc>
        <w:tc>
          <w:tcPr>
            <w:tcW w:w="4196" w:type="dxa"/>
            <w:tcBorders>
              <w:top w:val="single" w:sz="4" w:space="0" w:color="auto"/>
              <w:left w:val="single" w:sz="4" w:space="0" w:color="auto"/>
              <w:bottom w:val="nil"/>
              <w:right w:val="single" w:sz="4" w:space="0" w:color="auto"/>
            </w:tcBorders>
            <w:shd w:val="clear" w:color="auto" w:fill="BDD6EE" w:themeFill="accent1" w:themeFillTint="66"/>
          </w:tcPr>
          <w:p w:rsidR="00201C5D" w:rsidRPr="00EC06E7" w:rsidRDefault="00201C5D" w:rsidP="00081531">
            <w:pPr>
              <w:rPr>
                <w:rFonts w:cs="Courier New"/>
                <w:sz w:val="20"/>
                <w:szCs w:val="22"/>
              </w:rPr>
            </w:pPr>
          </w:p>
        </w:tc>
        <w:tc>
          <w:tcPr>
            <w:tcW w:w="2721" w:type="dxa"/>
            <w:gridSpan w:val="3"/>
            <w:tcBorders>
              <w:top w:val="single" w:sz="4" w:space="0" w:color="auto"/>
              <w:left w:val="single" w:sz="4" w:space="0" w:color="auto"/>
              <w:bottom w:val="nil"/>
            </w:tcBorders>
            <w:shd w:val="clear" w:color="auto" w:fill="BDD6EE" w:themeFill="accent1" w:themeFillTint="66"/>
            <w:vAlign w:val="center"/>
          </w:tcPr>
          <w:p w:rsidR="00201C5D" w:rsidRPr="00EC06E7" w:rsidRDefault="00201C5D" w:rsidP="00081531">
            <w:pPr>
              <w:jc w:val="center"/>
              <w:rPr>
                <w:rFonts w:cs="Courier New"/>
                <w:b/>
                <w:sz w:val="18"/>
                <w:szCs w:val="22"/>
              </w:rPr>
            </w:pPr>
            <w:r>
              <w:rPr>
                <w:rFonts w:cs="Courier New"/>
                <w:b/>
                <w:sz w:val="18"/>
                <w:szCs w:val="22"/>
              </w:rPr>
              <w:t>2017/18</w:t>
            </w:r>
          </w:p>
        </w:tc>
      </w:tr>
      <w:tr w:rsidR="00201C5D" w:rsidRPr="00EC06E7" w:rsidTr="00081531">
        <w:trPr>
          <w:cantSplit/>
          <w:trHeight w:val="2529"/>
          <w:jc w:val="center"/>
        </w:trPr>
        <w:tc>
          <w:tcPr>
            <w:tcW w:w="907"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18"/>
              </w:rPr>
            </w:pPr>
            <w:r w:rsidRPr="00EC06E7">
              <w:rPr>
                <w:rFonts w:cs="Courier New"/>
                <w:b/>
                <w:sz w:val="18"/>
                <w:szCs w:val="18"/>
              </w:rPr>
              <w:t>Net Expenditure chargeable to the General Fund Balance</w:t>
            </w:r>
          </w:p>
        </w:tc>
        <w:tc>
          <w:tcPr>
            <w:tcW w:w="907"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Adjustments between the  Funding and Accounting Basis</w:t>
            </w:r>
          </w:p>
        </w:tc>
        <w:tc>
          <w:tcPr>
            <w:tcW w:w="907"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Net Expenditure in the CIES</w:t>
            </w:r>
          </w:p>
        </w:tc>
        <w:tc>
          <w:tcPr>
            <w:tcW w:w="4196" w:type="dxa"/>
            <w:tcBorders>
              <w:top w:val="nil"/>
              <w:left w:val="single" w:sz="4" w:space="0" w:color="auto"/>
              <w:bottom w:val="nil"/>
              <w:right w:val="single" w:sz="4" w:space="0" w:color="auto"/>
            </w:tcBorders>
            <w:shd w:val="clear" w:color="auto" w:fill="BDD6EE" w:themeFill="accent1" w:themeFillTint="66"/>
            <w:vAlign w:val="bottom"/>
          </w:tcPr>
          <w:p w:rsidR="00201C5D" w:rsidRPr="00EC06E7" w:rsidRDefault="00201C5D" w:rsidP="00081531">
            <w:pPr>
              <w:rPr>
                <w:rFonts w:cs="Courier New"/>
                <w:b/>
                <w:sz w:val="20"/>
                <w:szCs w:val="22"/>
              </w:rPr>
            </w:pPr>
          </w:p>
        </w:tc>
        <w:tc>
          <w:tcPr>
            <w:tcW w:w="907"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Net Expenditure chargeable to the General Fund Balance</w:t>
            </w:r>
          </w:p>
        </w:tc>
        <w:tc>
          <w:tcPr>
            <w:tcW w:w="907"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Adjustments between the Funding and Accounting Basis</w:t>
            </w:r>
          </w:p>
        </w:tc>
        <w:tc>
          <w:tcPr>
            <w:tcW w:w="907" w:type="dxa"/>
            <w:tcBorders>
              <w:top w:val="single" w:sz="4" w:space="0" w:color="auto"/>
              <w:left w:val="single" w:sz="4" w:space="0" w:color="auto"/>
              <w:bottom w:val="nil"/>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Net Expenditure in the CIES</w:t>
            </w:r>
          </w:p>
        </w:tc>
      </w:tr>
      <w:tr w:rsidR="00201C5D" w:rsidRPr="00EC06E7" w:rsidTr="00081531">
        <w:trPr>
          <w:jc w:val="center"/>
        </w:trPr>
        <w:tc>
          <w:tcPr>
            <w:tcW w:w="907" w:type="dxa"/>
            <w:tcBorders>
              <w:top w:val="nil"/>
              <w:left w:val="single" w:sz="4" w:space="0" w:color="auto"/>
              <w:bottom w:val="single" w:sz="4" w:space="0" w:color="auto"/>
              <w:right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c>
          <w:tcPr>
            <w:tcW w:w="907" w:type="dxa"/>
            <w:tcBorders>
              <w:top w:val="nil"/>
              <w:left w:val="single" w:sz="4" w:space="0" w:color="auto"/>
              <w:bottom w:val="single" w:sz="4" w:space="0" w:color="auto"/>
              <w:right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c>
          <w:tcPr>
            <w:tcW w:w="907" w:type="dxa"/>
            <w:tcBorders>
              <w:top w:val="nil"/>
              <w:left w:val="single" w:sz="4" w:space="0" w:color="auto"/>
              <w:bottom w:val="single" w:sz="4" w:space="0" w:color="auto"/>
              <w:right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c>
          <w:tcPr>
            <w:tcW w:w="4196" w:type="dxa"/>
            <w:tcBorders>
              <w:top w:val="nil"/>
              <w:left w:val="single" w:sz="4" w:space="0" w:color="auto"/>
              <w:bottom w:val="single" w:sz="4" w:space="0" w:color="auto"/>
              <w:right w:val="single" w:sz="4" w:space="0" w:color="auto"/>
            </w:tcBorders>
            <w:shd w:val="clear" w:color="auto" w:fill="BDD6EE" w:themeFill="accent1" w:themeFillTint="66"/>
          </w:tcPr>
          <w:p w:rsidR="00201C5D" w:rsidRPr="00EC06E7" w:rsidRDefault="00201C5D" w:rsidP="00081531">
            <w:pPr>
              <w:rPr>
                <w:rFonts w:cs="Courier New"/>
                <w:b/>
                <w:sz w:val="20"/>
                <w:szCs w:val="22"/>
              </w:rPr>
            </w:pPr>
          </w:p>
        </w:tc>
        <w:tc>
          <w:tcPr>
            <w:tcW w:w="907" w:type="dxa"/>
            <w:tcBorders>
              <w:top w:val="nil"/>
              <w:left w:val="single" w:sz="4" w:space="0" w:color="auto"/>
              <w:bottom w:val="single" w:sz="4" w:space="0" w:color="auto"/>
              <w:right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c>
          <w:tcPr>
            <w:tcW w:w="907" w:type="dxa"/>
            <w:tcBorders>
              <w:top w:val="nil"/>
              <w:left w:val="single" w:sz="4" w:space="0" w:color="auto"/>
              <w:bottom w:val="single" w:sz="4" w:space="0" w:color="auto"/>
              <w:right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c>
          <w:tcPr>
            <w:tcW w:w="907" w:type="dxa"/>
            <w:tcBorders>
              <w:top w:val="nil"/>
              <w:left w:val="single" w:sz="4" w:space="0" w:color="auto"/>
              <w:bottom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r>
      <w:tr w:rsidR="00201C5D" w:rsidRPr="00EC06E7" w:rsidTr="00081531">
        <w:trPr>
          <w:trHeight w:val="567"/>
          <w:jc w:val="center"/>
        </w:trPr>
        <w:tc>
          <w:tcPr>
            <w:tcW w:w="907"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2,041</w:t>
            </w:r>
          </w:p>
        </w:tc>
        <w:tc>
          <w:tcPr>
            <w:tcW w:w="9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153</w:t>
            </w:r>
          </w:p>
        </w:tc>
        <w:tc>
          <w:tcPr>
            <w:tcW w:w="907" w:type="dxa"/>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2,194</w:t>
            </w:r>
          </w:p>
        </w:tc>
        <w:tc>
          <w:tcPr>
            <w:tcW w:w="419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rPr>
                <w:rFonts w:cs="Courier New"/>
                <w:sz w:val="18"/>
                <w:szCs w:val="22"/>
              </w:rPr>
            </w:pPr>
            <w:r w:rsidRPr="00EC06E7">
              <w:rPr>
                <w:rFonts w:cs="Courier New"/>
                <w:sz w:val="18"/>
                <w:szCs w:val="22"/>
              </w:rPr>
              <w:t>Chief Executive</w:t>
            </w:r>
          </w:p>
        </w:tc>
        <w:tc>
          <w:tcPr>
            <w:tcW w:w="9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w:t>
            </w:r>
            <w:r>
              <w:rPr>
                <w:rFonts w:cs="Arial"/>
                <w:sz w:val="18"/>
                <w:szCs w:val="18"/>
              </w:rPr>
              <w:t>848</w:t>
            </w:r>
          </w:p>
        </w:tc>
        <w:tc>
          <w:tcPr>
            <w:tcW w:w="9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1</w:t>
            </w:r>
            <w:r>
              <w:rPr>
                <w:rFonts w:cs="Arial"/>
                <w:sz w:val="18"/>
                <w:szCs w:val="18"/>
              </w:rPr>
              <w:t>42</w:t>
            </w:r>
          </w:p>
        </w:tc>
        <w:tc>
          <w:tcPr>
            <w:tcW w:w="907" w:type="dxa"/>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w:t>
            </w:r>
            <w:r>
              <w:rPr>
                <w:rFonts w:cs="Arial"/>
                <w:sz w:val="18"/>
                <w:szCs w:val="18"/>
              </w:rPr>
              <w:t>990</w:t>
            </w:r>
          </w:p>
        </w:tc>
      </w:tr>
      <w:tr w:rsidR="00201C5D" w:rsidRPr="00EC06E7" w:rsidTr="00081531">
        <w:trPr>
          <w:trHeight w:val="567"/>
          <w:jc w:val="center"/>
        </w:trPr>
        <w:tc>
          <w:tcPr>
            <w:tcW w:w="90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4,250</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1,953</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6,203</w:t>
            </w:r>
          </w:p>
        </w:tc>
        <w:tc>
          <w:tcPr>
            <w:tcW w:w="4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rPr>
                <w:rFonts w:cs="Courier New"/>
                <w:sz w:val="18"/>
                <w:szCs w:val="22"/>
              </w:rPr>
            </w:pPr>
            <w:r w:rsidRPr="00EC06E7">
              <w:rPr>
                <w:rFonts w:cs="Courier New"/>
                <w:sz w:val="18"/>
                <w:szCs w:val="22"/>
              </w:rPr>
              <w:t>Neighbourhood, Environment and Asset Management</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4,</w:t>
            </w:r>
            <w:r>
              <w:rPr>
                <w:rFonts w:cs="Arial"/>
                <w:sz w:val="18"/>
                <w:szCs w:val="18"/>
              </w:rPr>
              <w:t>771</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1,</w:t>
            </w:r>
            <w:r>
              <w:rPr>
                <w:rFonts w:cs="Arial"/>
                <w:sz w:val="18"/>
                <w:szCs w:val="18"/>
              </w:rPr>
              <w:t>390</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6,</w:t>
            </w:r>
            <w:r>
              <w:rPr>
                <w:rFonts w:cs="Arial"/>
                <w:sz w:val="18"/>
                <w:szCs w:val="18"/>
              </w:rPr>
              <w:t>161</w:t>
            </w:r>
          </w:p>
        </w:tc>
      </w:tr>
      <w:tr w:rsidR="00201C5D" w:rsidRPr="00EC06E7" w:rsidTr="00081531">
        <w:trPr>
          <w:trHeight w:val="567"/>
          <w:jc w:val="center"/>
        </w:trPr>
        <w:tc>
          <w:tcPr>
            <w:tcW w:w="90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1,335</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724</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2,059</w:t>
            </w:r>
          </w:p>
        </w:tc>
        <w:tc>
          <w:tcPr>
            <w:tcW w:w="4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rPr>
                <w:rFonts w:cs="Courier New"/>
                <w:sz w:val="18"/>
                <w:szCs w:val="22"/>
              </w:rPr>
            </w:pPr>
            <w:r w:rsidRPr="00EC06E7">
              <w:rPr>
                <w:rFonts w:cs="Courier New"/>
                <w:sz w:val="18"/>
                <w:szCs w:val="22"/>
              </w:rPr>
              <w:t>Development, Enterprise and Communities</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1,</w:t>
            </w:r>
            <w:r>
              <w:rPr>
                <w:rFonts w:cs="Arial"/>
                <w:sz w:val="18"/>
                <w:szCs w:val="18"/>
              </w:rPr>
              <w:t>692</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Pr>
                <w:rFonts w:cs="Arial"/>
                <w:sz w:val="18"/>
                <w:szCs w:val="18"/>
              </w:rPr>
              <w:t>1,039</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w:t>
            </w:r>
            <w:r>
              <w:rPr>
                <w:rFonts w:cs="Arial"/>
                <w:sz w:val="18"/>
                <w:szCs w:val="18"/>
              </w:rPr>
              <w:t>731</w:t>
            </w:r>
          </w:p>
        </w:tc>
      </w:tr>
      <w:tr w:rsidR="00201C5D" w:rsidRPr="00EC06E7" w:rsidTr="00081531">
        <w:trPr>
          <w:trHeight w:val="567"/>
          <w:jc w:val="center"/>
        </w:trPr>
        <w:tc>
          <w:tcPr>
            <w:tcW w:w="90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2,588</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215</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2,803</w:t>
            </w:r>
          </w:p>
        </w:tc>
        <w:tc>
          <w:tcPr>
            <w:tcW w:w="4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rPr>
                <w:rFonts w:cs="Courier New"/>
                <w:sz w:val="18"/>
                <w:szCs w:val="22"/>
              </w:rPr>
            </w:pPr>
            <w:r w:rsidRPr="00EC06E7">
              <w:rPr>
                <w:rFonts w:cs="Courier New"/>
                <w:sz w:val="18"/>
                <w:szCs w:val="22"/>
              </w:rPr>
              <w:t>Governance and Business Transformation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w:t>
            </w:r>
            <w:r>
              <w:rPr>
                <w:rFonts w:cs="Arial"/>
                <w:sz w:val="18"/>
                <w:szCs w:val="18"/>
              </w:rPr>
              <w:t>814</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Pr>
                <w:rFonts w:cs="Arial"/>
                <w:sz w:val="18"/>
                <w:szCs w:val="18"/>
              </w:rPr>
              <w:t>240</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Pr>
                <w:rFonts w:cs="Arial"/>
                <w:sz w:val="18"/>
                <w:szCs w:val="18"/>
              </w:rPr>
              <w:t>3</w:t>
            </w:r>
            <w:r w:rsidRPr="00EC06E7">
              <w:rPr>
                <w:rFonts w:cs="Arial"/>
                <w:sz w:val="18"/>
                <w:szCs w:val="18"/>
              </w:rPr>
              <w:t>,</w:t>
            </w:r>
            <w:r>
              <w:rPr>
                <w:rFonts w:cs="Arial"/>
                <w:sz w:val="18"/>
                <w:szCs w:val="18"/>
              </w:rPr>
              <w:t>054</w:t>
            </w:r>
          </w:p>
        </w:tc>
      </w:tr>
      <w:tr w:rsidR="00201C5D" w:rsidRPr="00EC06E7" w:rsidTr="00081531">
        <w:trPr>
          <w:trHeight w:val="567"/>
          <w:jc w:val="center"/>
        </w:trPr>
        <w:tc>
          <w:tcPr>
            <w:tcW w:w="90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Pr>
                <w:rFonts w:cs="Arial"/>
                <w:sz w:val="18"/>
                <w:szCs w:val="18"/>
              </w:rPr>
              <w:t>0</w:t>
            </w:r>
          </w:p>
        </w:tc>
        <w:tc>
          <w:tcPr>
            <w:tcW w:w="9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Pr>
                <w:rFonts w:cs="Arial"/>
                <w:sz w:val="18"/>
                <w:szCs w:val="18"/>
              </w:rPr>
              <w:t>0</w:t>
            </w:r>
          </w:p>
        </w:tc>
        <w:tc>
          <w:tcPr>
            <w:tcW w:w="907" w:type="dxa"/>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rsidR="00201C5D" w:rsidRPr="00EC06E7" w:rsidRDefault="00201C5D" w:rsidP="00081531">
            <w:pPr>
              <w:jc w:val="right"/>
              <w:rPr>
                <w:rFonts w:cs="Arial"/>
                <w:sz w:val="18"/>
                <w:szCs w:val="18"/>
              </w:rPr>
            </w:pPr>
            <w:r>
              <w:rPr>
                <w:rFonts w:cs="Arial"/>
                <w:sz w:val="18"/>
                <w:szCs w:val="18"/>
              </w:rPr>
              <w:t>0</w:t>
            </w:r>
          </w:p>
        </w:tc>
        <w:tc>
          <w:tcPr>
            <w:tcW w:w="419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01C5D" w:rsidRPr="00EC06E7" w:rsidRDefault="00201C5D" w:rsidP="00081531">
            <w:pPr>
              <w:rPr>
                <w:rFonts w:cs="Courier New"/>
                <w:sz w:val="18"/>
                <w:szCs w:val="22"/>
              </w:rPr>
            </w:pPr>
            <w:r>
              <w:rPr>
                <w:rFonts w:cs="Courier New"/>
                <w:sz w:val="18"/>
                <w:szCs w:val="22"/>
              </w:rPr>
              <w:t>Budgets not in directorates</w:t>
            </w:r>
          </w:p>
        </w:tc>
        <w:tc>
          <w:tcPr>
            <w:tcW w:w="9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Pr>
                <w:rFonts w:cs="Arial"/>
                <w:sz w:val="18"/>
                <w:szCs w:val="18"/>
              </w:rPr>
              <w:t>538</w:t>
            </w:r>
          </w:p>
        </w:tc>
        <w:tc>
          <w:tcPr>
            <w:tcW w:w="9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Pr>
                <w:rFonts w:cs="Arial"/>
                <w:sz w:val="18"/>
                <w:szCs w:val="18"/>
              </w:rPr>
              <w:t>122</w:t>
            </w:r>
          </w:p>
        </w:tc>
        <w:tc>
          <w:tcPr>
            <w:tcW w:w="907" w:type="dxa"/>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rsidR="00201C5D" w:rsidRPr="00EC06E7" w:rsidRDefault="00201C5D" w:rsidP="00081531">
            <w:pPr>
              <w:jc w:val="right"/>
              <w:rPr>
                <w:rFonts w:cs="Arial"/>
                <w:sz w:val="18"/>
                <w:szCs w:val="18"/>
              </w:rPr>
            </w:pPr>
            <w:r>
              <w:rPr>
                <w:rFonts w:cs="Arial"/>
                <w:sz w:val="18"/>
                <w:szCs w:val="18"/>
              </w:rPr>
              <w:t>660</w:t>
            </w:r>
          </w:p>
        </w:tc>
      </w:tr>
      <w:tr w:rsidR="00201C5D" w:rsidRPr="00EC06E7" w:rsidTr="00081531">
        <w:trPr>
          <w:trHeight w:val="567"/>
          <w:jc w:val="center"/>
        </w:trPr>
        <w:tc>
          <w:tcPr>
            <w:tcW w:w="907" w:type="dxa"/>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10,214</w:t>
            </w:r>
          </w:p>
        </w:tc>
        <w:tc>
          <w:tcPr>
            <w:tcW w:w="90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3,045</w:t>
            </w:r>
          </w:p>
        </w:tc>
        <w:tc>
          <w:tcPr>
            <w:tcW w:w="907"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13,259</w:t>
            </w:r>
          </w:p>
        </w:tc>
        <w:tc>
          <w:tcPr>
            <w:tcW w:w="419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18"/>
                <w:szCs w:val="22"/>
              </w:rPr>
            </w:pPr>
            <w:r w:rsidRPr="00EC06E7">
              <w:rPr>
                <w:rFonts w:cs="Courier New"/>
                <w:b/>
                <w:sz w:val="18"/>
                <w:szCs w:val="22"/>
              </w:rPr>
              <w:t>Net cost of Service</w:t>
            </w:r>
          </w:p>
        </w:tc>
        <w:tc>
          <w:tcPr>
            <w:tcW w:w="90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Arial"/>
                <w:b/>
                <w:sz w:val="18"/>
                <w:szCs w:val="18"/>
              </w:rPr>
            </w:pPr>
            <w:r>
              <w:rPr>
                <w:rFonts w:cs="Arial"/>
                <w:b/>
                <w:sz w:val="18"/>
                <w:szCs w:val="18"/>
              </w:rPr>
              <w:t>12,663</w:t>
            </w:r>
          </w:p>
        </w:tc>
        <w:tc>
          <w:tcPr>
            <w:tcW w:w="90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Arial"/>
                <w:b/>
                <w:sz w:val="18"/>
                <w:szCs w:val="18"/>
              </w:rPr>
            </w:pPr>
            <w:r>
              <w:rPr>
                <w:rFonts w:cs="Arial"/>
                <w:b/>
                <w:sz w:val="18"/>
                <w:szCs w:val="18"/>
              </w:rPr>
              <w:t>2</w:t>
            </w:r>
            <w:r w:rsidRPr="00EC06E7">
              <w:rPr>
                <w:rFonts w:cs="Arial"/>
                <w:b/>
                <w:sz w:val="18"/>
                <w:szCs w:val="18"/>
              </w:rPr>
              <w:t>,</w:t>
            </w:r>
            <w:r>
              <w:rPr>
                <w:rFonts w:cs="Arial"/>
                <w:b/>
                <w:sz w:val="18"/>
                <w:szCs w:val="18"/>
              </w:rPr>
              <w:t>933</w:t>
            </w:r>
          </w:p>
        </w:tc>
        <w:tc>
          <w:tcPr>
            <w:tcW w:w="907"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Pr>
                <w:rFonts w:cs="Arial"/>
                <w:b/>
                <w:sz w:val="18"/>
                <w:szCs w:val="18"/>
              </w:rPr>
              <w:t>15</w:t>
            </w:r>
            <w:r w:rsidRPr="00EC06E7">
              <w:rPr>
                <w:rFonts w:cs="Arial"/>
                <w:b/>
                <w:sz w:val="18"/>
                <w:szCs w:val="18"/>
              </w:rPr>
              <w:t>,</w:t>
            </w:r>
            <w:r>
              <w:rPr>
                <w:rFonts w:cs="Arial"/>
                <w:b/>
                <w:sz w:val="18"/>
                <w:szCs w:val="18"/>
              </w:rPr>
              <w:t>596</w:t>
            </w:r>
          </w:p>
        </w:tc>
      </w:tr>
      <w:tr w:rsidR="00201C5D" w:rsidRPr="00EC06E7" w:rsidTr="00081531">
        <w:trPr>
          <w:trHeight w:val="567"/>
          <w:jc w:val="center"/>
        </w:trPr>
        <w:tc>
          <w:tcPr>
            <w:tcW w:w="907" w:type="dxa"/>
            <w:tcBorders>
              <w:top w:val="single" w:sz="4" w:space="0" w:color="auto"/>
              <w:left w:val="single" w:sz="4" w:space="0" w:color="auto"/>
              <w:bottom w:val="nil"/>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(13,029)</w:t>
            </w:r>
          </w:p>
        </w:tc>
        <w:tc>
          <w:tcPr>
            <w:tcW w:w="907" w:type="dxa"/>
            <w:tcBorders>
              <w:top w:val="single" w:sz="4" w:space="0" w:color="auto"/>
              <w:left w:val="single" w:sz="4" w:space="0" w:color="BFBFBF" w:themeColor="background1" w:themeShade="BF"/>
              <w:bottom w:val="nil"/>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(1,519)</w:t>
            </w:r>
          </w:p>
        </w:tc>
        <w:tc>
          <w:tcPr>
            <w:tcW w:w="907" w:type="dxa"/>
            <w:tcBorders>
              <w:top w:val="single" w:sz="4" w:space="0" w:color="auto"/>
              <w:left w:val="single" w:sz="4" w:space="0" w:color="BFBFBF" w:themeColor="background1" w:themeShade="BF"/>
              <w:bottom w:val="nil"/>
            </w:tcBorders>
            <w:shd w:val="clear" w:color="auto" w:fill="auto"/>
            <w:vAlign w:val="center"/>
          </w:tcPr>
          <w:p w:rsidR="00201C5D" w:rsidRPr="00EC06E7" w:rsidRDefault="00201C5D" w:rsidP="00081531">
            <w:pPr>
              <w:rPr>
                <w:rFonts w:cs="Arial"/>
                <w:sz w:val="18"/>
                <w:szCs w:val="18"/>
              </w:rPr>
            </w:pPr>
            <w:r w:rsidRPr="00EC06E7">
              <w:rPr>
                <w:rFonts w:cs="Arial"/>
                <w:sz w:val="18"/>
                <w:szCs w:val="18"/>
              </w:rPr>
              <w:t>(14,548)</w:t>
            </w:r>
          </w:p>
        </w:tc>
        <w:tc>
          <w:tcPr>
            <w:tcW w:w="4196" w:type="dxa"/>
            <w:tcBorders>
              <w:top w:val="single" w:sz="4" w:space="0" w:color="auto"/>
              <w:left w:val="single" w:sz="4" w:space="0" w:color="BFBFBF" w:themeColor="background1" w:themeShade="BF"/>
              <w:bottom w:val="nil"/>
              <w:right w:val="single" w:sz="4" w:space="0" w:color="BFBFBF" w:themeColor="background1" w:themeShade="BF"/>
            </w:tcBorders>
            <w:shd w:val="clear" w:color="auto" w:fill="auto"/>
            <w:vAlign w:val="center"/>
          </w:tcPr>
          <w:p w:rsidR="00201C5D" w:rsidRPr="00EC06E7" w:rsidRDefault="00201C5D" w:rsidP="00081531">
            <w:pPr>
              <w:rPr>
                <w:rFonts w:cs="Courier New"/>
                <w:b/>
                <w:sz w:val="18"/>
                <w:szCs w:val="22"/>
              </w:rPr>
            </w:pPr>
            <w:r w:rsidRPr="00EC06E7">
              <w:rPr>
                <w:rFonts w:cs="Courier New"/>
                <w:sz w:val="18"/>
                <w:szCs w:val="22"/>
              </w:rPr>
              <w:t xml:space="preserve">Other Income and Expenditure </w:t>
            </w:r>
          </w:p>
        </w:tc>
        <w:tc>
          <w:tcPr>
            <w:tcW w:w="907" w:type="dxa"/>
            <w:tcBorders>
              <w:top w:val="single" w:sz="4" w:space="0" w:color="auto"/>
              <w:left w:val="single" w:sz="4" w:space="0" w:color="BFBFBF" w:themeColor="background1" w:themeShade="BF"/>
              <w:bottom w:val="nil"/>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Pr>
                <w:rFonts w:cs="Arial"/>
                <w:sz w:val="18"/>
                <w:szCs w:val="18"/>
              </w:rPr>
              <w:t>(13,058</w:t>
            </w:r>
            <w:r w:rsidRPr="00EC06E7">
              <w:rPr>
                <w:rFonts w:cs="Arial"/>
                <w:sz w:val="18"/>
                <w:szCs w:val="18"/>
              </w:rPr>
              <w:t>)</w:t>
            </w:r>
          </w:p>
        </w:tc>
        <w:tc>
          <w:tcPr>
            <w:tcW w:w="907" w:type="dxa"/>
            <w:tcBorders>
              <w:top w:val="single" w:sz="4" w:space="0" w:color="auto"/>
              <w:left w:val="single" w:sz="4" w:space="0" w:color="BFBFBF" w:themeColor="background1" w:themeShade="BF"/>
              <w:bottom w:val="nil"/>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w:t>
            </w:r>
            <w:r>
              <w:rPr>
                <w:rFonts w:cs="Arial"/>
                <w:sz w:val="18"/>
                <w:szCs w:val="18"/>
              </w:rPr>
              <w:t>3</w:t>
            </w:r>
            <w:r w:rsidRPr="00EC06E7">
              <w:rPr>
                <w:rFonts w:cs="Arial"/>
                <w:sz w:val="18"/>
                <w:szCs w:val="18"/>
              </w:rPr>
              <w:t>,</w:t>
            </w:r>
            <w:r>
              <w:rPr>
                <w:rFonts w:cs="Arial"/>
                <w:sz w:val="18"/>
                <w:szCs w:val="18"/>
              </w:rPr>
              <w:t>859</w:t>
            </w:r>
            <w:r w:rsidRPr="00EC06E7">
              <w:rPr>
                <w:rFonts w:cs="Arial"/>
                <w:sz w:val="18"/>
                <w:szCs w:val="18"/>
              </w:rPr>
              <w:t>)</w:t>
            </w:r>
          </w:p>
        </w:tc>
        <w:tc>
          <w:tcPr>
            <w:tcW w:w="907" w:type="dxa"/>
            <w:tcBorders>
              <w:top w:val="single" w:sz="4" w:space="0" w:color="auto"/>
              <w:left w:val="single" w:sz="4" w:space="0" w:color="BFBFBF" w:themeColor="background1" w:themeShade="BF"/>
              <w:bottom w:val="nil"/>
            </w:tcBorders>
            <w:shd w:val="clear" w:color="auto" w:fill="auto"/>
            <w:vAlign w:val="center"/>
          </w:tcPr>
          <w:p w:rsidR="00201C5D" w:rsidRPr="00EC06E7" w:rsidRDefault="00201C5D" w:rsidP="00081531">
            <w:pPr>
              <w:rPr>
                <w:rFonts w:cs="Arial"/>
                <w:sz w:val="18"/>
                <w:szCs w:val="18"/>
              </w:rPr>
            </w:pPr>
            <w:r w:rsidRPr="00EC06E7">
              <w:rPr>
                <w:rFonts w:cs="Arial"/>
                <w:sz w:val="18"/>
                <w:szCs w:val="18"/>
              </w:rPr>
              <w:t>(</w:t>
            </w:r>
            <w:r>
              <w:rPr>
                <w:rFonts w:cs="Arial"/>
                <w:sz w:val="18"/>
                <w:szCs w:val="18"/>
              </w:rPr>
              <w:t>16</w:t>
            </w:r>
            <w:r w:rsidRPr="00EC06E7">
              <w:rPr>
                <w:rFonts w:cs="Arial"/>
                <w:sz w:val="18"/>
                <w:szCs w:val="18"/>
              </w:rPr>
              <w:t>,</w:t>
            </w:r>
            <w:r>
              <w:rPr>
                <w:rFonts w:cs="Arial"/>
                <w:sz w:val="18"/>
                <w:szCs w:val="18"/>
              </w:rPr>
              <w:t>917</w:t>
            </w:r>
            <w:r w:rsidRPr="00EC06E7">
              <w:rPr>
                <w:rFonts w:cs="Arial"/>
                <w:sz w:val="18"/>
                <w:szCs w:val="18"/>
              </w:rPr>
              <w:t>)</w:t>
            </w:r>
          </w:p>
        </w:tc>
      </w:tr>
      <w:tr w:rsidR="00201C5D" w:rsidRPr="00EC06E7" w:rsidTr="00081531">
        <w:trPr>
          <w:trHeight w:val="567"/>
          <w:jc w:val="center"/>
        </w:trPr>
        <w:tc>
          <w:tcPr>
            <w:tcW w:w="907" w:type="dxa"/>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(2,815)</w:t>
            </w:r>
          </w:p>
        </w:tc>
        <w:tc>
          <w:tcPr>
            <w:tcW w:w="90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1,526</w:t>
            </w:r>
          </w:p>
        </w:tc>
        <w:tc>
          <w:tcPr>
            <w:tcW w:w="907"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(1,289)</w:t>
            </w:r>
          </w:p>
        </w:tc>
        <w:tc>
          <w:tcPr>
            <w:tcW w:w="419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18"/>
                <w:szCs w:val="22"/>
              </w:rPr>
            </w:pPr>
            <w:r w:rsidRPr="00EC06E7">
              <w:rPr>
                <w:rFonts w:cs="Courier New"/>
                <w:b/>
                <w:sz w:val="18"/>
                <w:szCs w:val="22"/>
              </w:rPr>
              <w:t>(Surplus) / Deficit in year</w:t>
            </w:r>
          </w:p>
        </w:tc>
        <w:tc>
          <w:tcPr>
            <w:tcW w:w="90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w:t>
            </w:r>
            <w:r>
              <w:rPr>
                <w:rFonts w:cs="Arial"/>
                <w:b/>
                <w:sz w:val="18"/>
                <w:szCs w:val="18"/>
              </w:rPr>
              <w:t>395</w:t>
            </w:r>
            <w:r w:rsidRPr="00EC06E7">
              <w:rPr>
                <w:rFonts w:cs="Arial"/>
                <w:b/>
                <w:sz w:val="18"/>
                <w:szCs w:val="18"/>
              </w:rPr>
              <w:t>)</w:t>
            </w:r>
          </w:p>
        </w:tc>
        <w:tc>
          <w:tcPr>
            <w:tcW w:w="90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Arial"/>
                <w:b/>
                <w:sz w:val="18"/>
                <w:szCs w:val="18"/>
              </w:rPr>
            </w:pPr>
            <w:r>
              <w:rPr>
                <w:rFonts w:cs="Arial"/>
                <w:b/>
                <w:sz w:val="18"/>
                <w:szCs w:val="18"/>
              </w:rPr>
              <w:t>9</w:t>
            </w:r>
            <w:r w:rsidRPr="00EC06E7">
              <w:rPr>
                <w:rFonts w:cs="Arial"/>
                <w:b/>
                <w:sz w:val="18"/>
                <w:szCs w:val="18"/>
              </w:rPr>
              <w:t>26</w:t>
            </w:r>
          </w:p>
        </w:tc>
        <w:tc>
          <w:tcPr>
            <w:tcW w:w="907"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(1,</w:t>
            </w:r>
            <w:r>
              <w:rPr>
                <w:rFonts w:cs="Arial"/>
                <w:b/>
                <w:sz w:val="18"/>
                <w:szCs w:val="18"/>
              </w:rPr>
              <w:t>321</w:t>
            </w:r>
            <w:r w:rsidRPr="00EC06E7">
              <w:rPr>
                <w:rFonts w:cs="Arial"/>
                <w:b/>
                <w:sz w:val="18"/>
                <w:szCs w:val="18"/>
              </w:rPr>
              <w:t>)</w:t>
            </w:r>
          </w:p>
        </w:tc>
      </w:tr>
      <w:tr w:rsidR="00201C5D" w:rsidRPr="00EC06E7" w:rsidTr="00081531">
        <w:trPr>
          <w:trHeight w:val="567"/>
          <w:jc w:val="center"/>
        </w:trPr>
        <w:tc>
          <w:tcPr>
            <w:tcW w:w="907"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(15,778)</w:t>
            </w:r>
          </w:p>
        </w:tc>
        <w:tc>
          <w:tcPr>
            <w:tcW w:w="9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p>
        </w:tc>
        <w:tc>
          <w:tcPr>
            <w:tcW w:w="9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p>
        </w:tc>
        <w:tc>
          <w:tcPr>
            <w:tcW w:w="419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rPr>
                <w:rFonts w:cs="Courier New"/>
                <w:sz w:val="18"/>
                <w:szCs w:val="22"/>
              </w:rPr>
            </w:pPr>
            <w:r w:rsidRPr="00EC06E7">
              <w:rPr>
                <w:rFonts w:cs="Courier New"/>
                <w:sz w:val="18"/>
                <w:szCs w:val="22"/>
              </w:rPr>
              <w:t>Opening General Fund Balance at 1 April 2016</w:t>
            </w:r>
          </w:p>
        </w:tc>
        <w:tc>
          <w:tcPr>
            <w:tcW w:w="9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w:t>
            </w:r>
            <w:r>
              <w:rPr>
                <w:rFonts w:cs="Arial"/>
                <w:sz w:val="18"/>
                <w:szCs w:val="18"/>
              </w:rPr>
              <w:t>18</w:t>
            </w:r>
            <w:r w:rsidRPr="00EC06E7">
              <w:rPr>
                <w:rFonts w:cs="Arial"/>
                <w:sz w:val="18"/>
                <w:szCs w:val="18"/>
              </w:rPr>
              <w:t>,</w:t>
            </w:r>
            <w:r>
              <w:rPr>
                <w:rFonts w:cs="Arial"/>
                <w:sz w:val="18"/>
                <w:szCs w:val="18"/>
              </w:rPr>
              <w:t>593</w:t>
            </w:r>
            <w:r w:rsidRPr="00EC06E7">
              <w:rPr>
                <w:rFonts w:cs="Arial"/>
                <w:sz w:val="18"/>
                <w:szCs w:val="18"/>
              </w:rPr>
              <w:t>)</w:t>
            </w:r>
          </w:p>
        </w:tc>
        <w:tc>
          <w:tcPr>
            <w:tcW w:w="9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p>
        </w:tc>
        <w:tc>
          <w:tcPr>
            <w:tcW w:w="907" w:type="dxa"/>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p>
        </w:tc>
      </w:tr>
      <w:tr w:rsidR="00201C5D" w:rsidRPr="00EC06E7" w:rsidTr="00081531">
        <w:trPr>
          <w:trHeight w:val="567"/>
          <w:jc w:val="center"/>
        </w:trPr>
        <w:tc>
          <w:tcPr>
            <w:tcW w:w="90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sidRPr="00EC06E7">
              <w:rPr>
                <w:rFonts w:cs="Arial"/>
                <w:sz w:val="18"/>
                <w:szCs w:val="18"/>
              </w:rPr>
              <w:t>(2,815)</w:t>
            </w:r>
          </w:p>
        </w:tc>
        <w:tc>
          <w:tcPr>
            <w:tcW w:w="9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p>
        </w:tc>
        <w:tc>
          <w:tcPr>
            <w:tcW w:w="9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p>
        </w:tc>
        <w:tc>
          <w:tcPr>
            <w:tcW w:w="419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01C5D" w:rsidRPr="00EC06E7" w:rsidRDefault="00201C5D" w:rsidP="00081531">
            <w:pPr>
              <w:rPr>
                <w:rFonts w:cs="Courier New"/>
                <w:sz w:val="18"/>
                <w:szCs w:val="22"/>
              </w:rPr>
            </w:pPr>
            <w:r w:rsidRPr="00EC06E7">
              <w:rPr>
                <w:rFonts w:cs="Courier New"/>
                <w:sz w:val="18"/>
                <w:szCs w:val="22"/>
              </w:rPr>
              <w:t>Add Surplus / Less Deficit on General Fund Balance in Year</w:t>
            </w:r>
          </w:p>
        </w:tc>
        <w:tc>
          <w:tcPr>
            <w:tcW w:w="9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r>
              <w:rPr>
                <w:rFonts w:cs="Arial"/>
                <w:sz w:val="18"/>
                <w:szCs w:val="18"/>
              </w:rPr>
              <w:t>(395</w:t>
            </w:r>
            <w:r w:rsidRPr="00EC06E7">
              <w:rPr>
                <w:rFonts w:cs="Arial"/>
                <w:sz w:val="18"/>
                <w:szCs w:val="18"/>
              </w:rPr>
              <w:t>)</w:t>
            </w:r>
          </w:p>
        </w:tc>
        <w:tc>
          <w:tcPr>
            <w:tcW w:w="9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01C5D" w:rsidRPr="00EC06E7" w:rsidRDefault="00201C5D" w:rsidP="00081531">
            <w:pPr>
              <w:jc w:val="right"/>
              <w:rPr>
                <w:rFonts w:cs="Arial"/>
                <w:sz w:val="18"/>
                <w:szCs w:val="18"/>
              </w:rPr>
            </w:pPr>
          </w:p>
        </w:tc>
        <w:tc>
          <w:tcPr>
            <w:tcW w:w="907" w:type="dxa"/>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rsidR="00201C5D" w:rsidRPr="00EC06E7" w:rsidRDefault="00201C5D" w:rsidP="00081531">
            <w:pPr>
              <w:jc w:val="right"/>
              <w:rPr>
                <w:rFonts w:cs="Arial"/>
                <w:sz w:val="18"/>
                <w:szCs w:val="18"/>
              </w:rPr>
            </w:pPr>
          </w:p>
        </w:tc>
      </w:tr>
      <w:tr w:rsidR="00201C5D" w:rsidRPr="00EC06E7" w:rsidTr="00081531">
        <w:trPr>
          <w:trHeight w:val="567"/>
          <w:jc w:val="center"/>
        </w:trPr>
        <w:tc>
          <w:tcPr>
            <w:tcW w:w="907"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Arial"/>
                <w:b/>
                <w:sz w:val="18"/>
                <w:szCs w:val="18"/>
              </w:rPr>
            </w:pPr>
            <w:r w:rsidRPr="00EC06E7">
              <w:rPr>
                <w:rFonts w:cs="Arial"/>
                <w:b/>
                <w:sz w:val="18"/>
                <w:szCs w:val="18"/>
              </w:rPr>
              <w:t>(18,593)</w:t>
            </w:r>
          </w:p>
        </w:tc>
        <w:tc>
          <w:tcPr>
            <w:tcW w:w="90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Arial"/>
                <w:b/>
                <w:sz w:val="18"/>
                <w:szCs w:val="18"/>
              </w:rPr>
            </w:pPr>
          </w:p>
        </w:tc>
        <w:tc>
          <w:tcPr>
            <w:tcW w:w="90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Arial"/>
                <w:b/>
                <w:sz w:val="18"/>
                <w:szCs w:val="18"/>
              </w:rPr>
            </w:pPr>
          </w:p>
        </w:tc>
        <w:tc>
          <w:tcPr>
            <w:tcW w:w="419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rPr>
                <w:rFonts w:cs="Courier New"/>
                <w:b/>
                <w:sz w:val="18"/>
                <w:szCs w:val="22"/>
              </w:rPr>
            </w:pPr>
            <w:r w:rsidRPr="00EC06E7">
              <w:rPr>
                <w:rFonts w:cs="Courier New"/>
                <w:b/>
                <w:sz w:val="18"/>
                <w:szCs w:val="22"/>
              </w:rPr>
              <w:t xml:space="preserve">Closing General Fund Balance at </w:t>
            </w:r>
            <w:r>
              <w:rPr>
                <w:rFonts w:cs="Courier New"/>
                <w:b/>
                <w:sz w:val="18"/>
                <w:szCs w:val="22"/>
              </w:rPr>
              <w:t>31 March 2018</w:t>
            </w:r>
          </w:p>
        </w:tc>
        <w:tc>
          <w:tcPr>
            <w:tcW w:w="90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Arial"/>
                <w:b/>
                <w:sz w:val="18"/>
                <w:szCs w:val="18"/>
              </w:rPr>
            </w:pPr>
            <w:r w:rsidRPr="00EC06E7">
              <w:rPr>
                <w:rFonts w:cs="Arial"/>
                <w:b/>
                <w:sz w:val="18"/>
                <w:szCs w:val="18"/>
              </w:rPr>
              <w:t>(18,</w:t>
            </w:r>
            <w:r>
              <w:rPr>
                <w:rFonts w:cs="Arial"/>
                <w:b/>
                <w:sz w:val="18"/>
                <w:szCs w:val="18"/>
              </w:rPr>
              <w:t>988</w:t>
            </w:r>
            <w:r w:rsidRPr="00EC06E7">
              <w:rPr>
                <w:rFonts w:cs="Arial"/>
                <w:b/>
                <w:sz w:val="18"/>
                <w:szCs w:val="18"/>
              </w:rPr>
              <w:t>)</w:t>
            </w:r>
          </w:p>
        </w:tc>
        <w:tc>
          <w:tcPr>
            <w:tcW w:w="90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Arial"/>
                <w:b/>
                <w:sz w:val="18"/>
                <w:szCs w:val="18"/>
              </w:rPr>
            </w:pPr>
          </w:p>
        </w:tc>
        <w:tc>
          <w:tcPr>
            <w:tcW w:w="907" w:type="dxa"/>
            <w:tcBorders>
              <w:top w:val="single" w:sz="4" w:space="0" w:color="auto"/>
              <w:left w:val="single" w:sz="4" w:space="0" w:color="BFBFBF" w:themeColor="background1" w:themeShade="BF"/>
              <w:bottom w:val="single" w:sz="4" w:space="0" w:color="auto"/>
            </w:tcBorders>
            <w:shd w:val="clear" w:color="auto" w:fill="D9D9D9" w:themeFill="background1" w:themeFillShade="D9"/>
            <w:vAlign w:val="center"/>
          </w:tcPr>
          <w:p w:rsidR="00201C5D" w:rsidRPr="00EC06E7" w:rsidRDefault="00201C5D" w:rsidP="00081531">
            <w:pPr>
              <w:jc w:val="right"/>
              <w:rPr>
                <w:rFonts w:cs="Arial"/>
                <w:b/>
                <w:sz w:val="18"/>
                <w:szCs w:val="18"/>
              </w:rPr>
            </w:pPr>
          </w:p>
        </w:tc>
      </w:tr>
    </w:tbl>
    <w:p w:rsidR="00201C5D" w:rsidRDefault="00201C5D" w:rsidP="00201C5D">
      <w:pPr>
        <w:keepNext/>
        <w:outlineLvl w:val="0"/>
        <w:rPr>
          <w:b/>
          <w:szCs w:val="22"/>
        </w:rPr>
      </w:pPr>
    </w:p>
    <w:p w:rsidR="00201C5D" w:rsidRPr="005A0C6A" w:rsidRDefault="00201C5D" w:rsidP="00201C5D">
      <w:pPr>
        <w:keepNext/>
        <w:numPr>
          <w:ilvl w:val="1"/>
          <w:numId w:val="8"/>
        </w:numPr>
        <w:ind w:hanging="436"/>
        <w:jc w:val="both"/>
        <w:outlineLvl w:val="0"/>
        <w:rPr>
          <w:b/>
          <w:szCs w:val="22"/>
        </w:rPr>
      </w:pPr>
      <w:r w:rsidRPr="000340A2">
        <w:rPr>
          <w:rFonts w:cs="Arial"/>
          <w:szCs w:val="22"/>
        </w:rPr>
        <w:t xml:space="preserve">The </w:t>
      </w:r>
      <w:r>
        <w:rPr>
          <w:rFonts w:cs="Arial"/>
          <w:szCs w:val="22"/>
        </w:rPr>
        <w:t>EFA shows:</w:t>
      </w:r>
    </w:p>
    <w:p w:rsidR="00201C5D" w:rsidRDefault="00201C5D" w:rsidP="00201C5D">
      <w:pPr>
        <w:keepNext/>
        <w:ind w:left="720"/>
        <w:jc w:val="both"/>
        <w:outlineLvl w:val="0"/>
        <w:rPr>
          <w:b/>
          <w:szCs w:val="22"/>
        </w:rPr>
      </w:pPr>
    </w:p>
    <w:p w:rsidR="00963D4D" w:rsidRDefault="00963D4D" w:rsidP="00963D4D">
      <w:pPr>
        <w:numPr>
          <w:ilvl w:val="0"/>
          <w:numId w:val="32"/>
        </w:numPr>
        <w:spacing w:after="120"/>
        <w:jc w:val="both"/>
        <w:rPr>
          <w:rFonts w:cs="Courier New"/>
          <w:szCs w:val="22"/>
        </w:rPr>
      </w:pPr>
      <w:r w:rsidRPr="005A0C6A">
        <w:rPr>
          <w:rFonts w:cs="Courier New"/>
          <w:szCs w:val="22"/>
        </w:rPr>
        <w:t>T</w:t>
      </w:r>
      <w:r>
        <w:rPr>
          <w:rFonts w:cs="Courier New"/>
          <w:szCs w:val="22"/>
        </w:rPr>
        <w:t>he Net Cost of S</w:t>
      </w:r>
      <w:r w:rsidRPr="005A0C6A">
        <w:rPr>
          <w:rFonts w:cs="Courier New"/>
          <w:szCs w:val="22"/>
        </w:rPr>
        <w:t xml:space="preserve">ervice </w:t>
      </w:r>
      <w:r>
        <w:rPr>
          <w:rFonts w:cs="Courier New"/>
          <w:szCs w:val="22"/>
        </w:rPr>
        <w:t xml:space="preserve">chargeable to the General Fund Balance for the year was £12.663m. This is an overall increase of £2.449m when compared to 2016/17. </w:t>
      </w:r>
    </w:p>
    <w:p w:rsidR="009D06D9" w:rsidRDefault="00201C5D" w:rsidP="00201C5D">
      <w:pPr>
        <w:numPr>
          <w:ilvl w:val="0"/>
          <w:numId w:val="32"/>
        </w:numPr>
        <w:spacing w:after="120"/>
        <w:jc w:val="both"/>
        <w:rPr>
          <w:rFonts w:cs="Courier New"/>
          <w:szCs w:val="22"/>
        </w:rPr>
      </w:pPr>
      <w:r>
        <w:rPr>
          <w:rFonts w:cs="Courier New"/>
          <w:szCs w:val="22"/>
        </w:rPr>
        <w:t>The cost of providing services reported in the EFA on a funding basis, i.e. chargeable to the General Fund Balance and which excludes</w:t>
      </w:r>
      <w:r w:rsidRPr="00476443">
        <w:rPr>
          <w:rFonts w:cs="Courier New"/>
          <w:szCs w:val="22"/>
        </w:rPr>
        <w:t xml:space="preserve"> accounting adjustments for items such as depreciation and capital income</w:t>
      </w:r>
      <w:r>
        <w:rPr>
          <w:rFonts w:cs="Courier New"/>
          <w:szCs w:val="22"/>
        </w:rPr>
        <w:t>, shows that net directorate</w:t>
      </w:r>
      <w:r w:rsidR="00081531">
        <w:rPr>
          <w:rFonts w:cs="Courier New"/>
          <w:szCs w:val="22"/>
        </w:rPr>
        <w:t xml:space="preserve"> expenditure increased</w:t>
      </w:r>
      <w:r>
        <w:rPr>
          <w:rFonts w:cs="Courier New"/>
          <w:szCs w:val="22"/>
        </w:rPr>
        <w:t xml:space="preserve"> between 201</w:t>
      </w:r>
      <w:r w:rsidR="00081531">
        <w:rPr>
          <w:rFonts w:cs="Courier New"/>
          <w:szCs w:val="22"/>
        </w:rPr>
        <w:t>6/17 and 2017/18</w:t>
      </w:r>
      <w:r>
        <w:rPr>
          <w:rFonts w:cs="Courier New"/>
          <w:szCs w:val="22"/>
        </w:rPr>
        <w:t xml:space="preserve">. The most significant movement was in the net expenditure of the </w:t>
      </w:r>
      <w:r w:rsidR="00DD4303">
        <w:rPr>
          <w:rFonts w:cs="Courier New"/>
          <w:szCs w:val="22"/>
        </w:rPr>
        <w:t>Chief Executive</w:t>
      </w:r>
      <w:r>
        <w:rPr>
          <w:rFonts w:cs="Courier New"/>
          <w:szCs w:val="22"/>
        </w:rPr>
        <w:t xml:space="preserve"> directorate. This movement, from £</w:t>
      </w:r>
      <w:r w:rsidR="00DD4303">
        <w:rPr>
          <w:rFonts w:cs="Courier New"/>
          <w:szCs w:val="22"/>
        </w:rPr>
        <w:t>2</w:t>
      </w:r>
      <w:r>
        <w:rPr>
          <w:rFonts w:cs="Courier New"/>
          <w:szCs w:val="22"/>
        </w:rPr>
        <w:t>.</w:t>
      </w:r>
      <w:r w:rsidR="00DD4303">
        <w:rPr>
          <w:rFonts w:cs="Courier New"/>
          <w:szCs w:val="22"/>
        </w:rPr>
        <w:t>041m in 2016/17 to £2</w:t>
      </w:r>
      <w:r>
        <w:rPr>
          <w:rFonts w:cs="Courier New"/>
          <w:szCs w:val="22"/>
        </w:rPr>
        <w:t>.</w:t>
      </w:r>
      <w:r w:rsidR="00DD4303">
        <w:rPr>
          <w:rFonts w:cs="Courier New"/>
          <w:szCs w:val="22"/>
        </w:rPr>
        <w:t>848</w:t>
      </w:r>
      <w:r>
        <w:rPr>
          <w:rFonts w:cs="Courier New"/>
          <w:szCs w:val="22"/>
        </w:rPr>
        <w:t>m in 201</w:t>
      </w:r>
      <w:r w:rsidR="00DD4303">
        <w:rPr>
          <w:rFonts w:cs="Courier New"/>
          <w:szCs w:val="22"/>
        </w:rPr>
        <w:t>7/18</w:t>
      </w:r>
      <w:r>
        <w:rPr>
          <w:rFonts w:cs="Courier New"/>
          <w:szCs w:val="22"/>
        </w:rPr>
        <w:t xml:space="preserve"> totalled £0.</w:t>
      </w:r>
      <w:r w:rsidR="00DD4303">
        <w:rPr>
          <w:rFonts w:cs="Courier New"/>
          <w:szCs w:val="22"/>
        </w:rPr>
        <w:t>807</w:t>
      </w:r>
      <w:r>
        <w:rPr>
          <w:rFonts w:cs="Courier New"/>
          <w:szCs w:val="22"/>
        </w:rPr>
        <w:t xml:space="preserve">m and mainly relates to the </w:t>
      </w:r>
      <w:r w:rsidR="00DD4303">
        <w:rPr>
          <w:rFonts w:cs="Courier New"/>
          <w:szCs w:val="22"/>
        </w:rPr>
        <w:t xml:space="preserve">one-off </w:t>
      </w:r>
      <w:r w:rsidR="00963D4D">
        <w:rPr>
          <w:rFonts w:cs="Courier New"/>
          <w:szCs w:val="22"/>
        </w:rPr>
        <w:t xml:space="preserve">interim </w:t>
      </w:r>
      <w:r w:rsidR="00A21479">
        <w:rPr>
          <w:rFonts w:cs="Courier New"/>
          <w:szCs w:val="22"/>
        </w:rPr>
        <w:t>specialist consultant</w:t>
      </w:r>
      <w:r w:rsidR="00963D4D">
        <w:rPr>
          <w:rFonts w:cs="Courier New"/>
          <w:szCs w:val="22"/>
        </w:rPr>
        <w:t xml:space="preserve"> costs to support the organisation as it undergoes transformation</w:t>
      </w:r>
      <w:r w:rsidR="00A21479">
        <w:rPr>
          <w:rFonts w:cs="Courier New"/>
          <w:szCs w:val="22"/>
        </w:rPr>
        <w:t xml:space="preserve"> and support the improvement action plan set by the LGA</w:t>
      </w:r>
      <w:r w:rsidR="00963D4D">
        <w:rPr>
          <w:rFonts w:cs="Courier New"/>
          <w:szCs w:val="22"/>
        </w:rPr>
        <w:t xml:space="preserve"> </w:t>
      </w:r>
      <w:r w:rsidR="00A21479">
        <w:rPr>
          <w:rFonts w:cs="Courier New"/>
          <w:szCs w:val="22"/>
        </w:rPr>
        <w:t>(£0.5</w:t>
      </w:r>
      <w:r w:rsidR="00963D4D">
        <w:rPr>
          <w:rFonts w:cs="Courier New"/>
          <w:szCs w:val="22"/>
        </w:rPr>
        <w:t xml:space="preserve">m), </w:t>
      </w:r>
      <w:r w:rsidR="009D06D9">
        <w:rPr>
          <w:rFonts w:cs="Courier New"/>
          <w:szCs w:val="22"/>
        </w:rPr>
        <w:t>graduate apprentices and apprenticeship levy (£0.1m) and an increase in the bad debt provision (0.2m).</w:t>
      </w:r>
    </w:p>
    <w:p w:rsidR="00201C5D" w:rsidRDefault="009D06D9" w:rsidP="00201C5D">
      <w:pPr>
        <w:numPr>
          <w:ilvl w:val="0"/>
          <w:numId w:val="32"/>
        </w:numPr>
        <w:spacing w:after="120"/>
        <w:jc w:val="both"/>
        <w:rPr>
          <w:rFonts w:cs="Courier New"/>
          <w:szCs w:val="22"/>
        </w:rPr>
      </w:pPr>
      <w:r>
        <w:rPr>
          <w:rFonts w:cs="Courier New"/>
          <w:szCs w:val="22"/>
        </w:rPr>
        <w:t xml:space="preserve">Costs increased in the other 3 Directorates by £1.1m as a result of costs relating to service restructuring (£0.6m), increased New Homes Bonus contribution to City </w:t>
      </w:r>
      <w:r w:rsidR="007646A4">
        <w:rPr>
          <w:rFonts w:cs="Courier New"/>
          <w:szCs w:val="22"/>
        </w:rPr>
        <w:t xml:space="preserve">Deal </w:t>
      </w:r>
      <w:r>
        <w:rPr>
          <w:rFonts w:cs="Courier New"/>
          <w:szCs w:val="22"/>
        </w:rPr>
        <w:t>(£0.2m), a one-off release of council tax relief grant and lower council tax recovery (£0.2m) and the costs to the civic centre as a result of the DWP arrangement (£0.1m).</w:t>
      </w:r>
    </w:p>
    <w:p w:rsidR="00DD4303" w:rsidRDefault="00282E26" w:rsidP="00DD4303">
      <w:pPr>
        <w:numPr>
          <w:ilvl w:val="0"/>
          <w:numId w:val="32"/>
        </w:numPr>
        <w:spacing w:after="120"/>
        <w:jc w:val="both"/>
        <w:rPr>
          <w:rFonts w:cs="Courier New"/>
          <w:szCs w:val="22"/>
        </w:rPr>
      </w:pPr>
      <w:r>
        <w:rPr>
          <w:rFonts w:cs="Courier New"/>
          <w:szCs w:val="22"/>
        </w:rPr>
        <w:t>A new line named</w:t>
      </w:r>
      <w:r w:rsidR="00DD4303">
        <w:rPr>
          <w:rFonts w:cs="Courier New"/>
          <w:szCs w:val="22"/>
        </w:rPr>
        <w:t xml:space="preserve"> ‘Budgets not in directorates’ has been included in the</w:t>
      </w:r>
      <w:r w:rsidR="0099287A">
        <w:rPr>
          <w:rFonts w:cs="Courier New"/>
          <w:szCs w:val="22"/>
        </w:rPr>
        <w:t xml:space="preserve"> Expenditure &amp; Funding Analysis and </w:t>
      </w:r>
      <w:r w:rsidR="00DD4303" w:rsidRPr="00DD4303">
        <w:rPr>
          <w:rFonts w:cs="Courier New"/>
          <w:szCs w:val="22"/>
        </w:rPr>
        <w:t xml:space="preserve">Comprehensive Income </w:t>
      </w:r>
      <w:r w:rsidR="0099287A">
        <w:rPr>
          <w:rFonts w:cs="Courier New"/>
          <w:szCs w:val="22"/>
        </w:rPr>
        <w:t>&amp;</w:t>
      </w:r>
      <w:r w:rsidR="00DD4303" w:rsidRPr="00DD4303">
        <w:rPr>
          <w:rFonts w:cs="Courier New"/>
          <w:szCs w:val="22"/>
        </w:rPr>
        <w:t xml:space="preserve"> Expenditure Statement</w:t>
      </w:r>
      <w:r w:rsidR="00DD4303">
        <w:rPr>
          <w:rFonts w:cs="Courier New"/>
          <w:szCs w:val="22"/>
        </w:rPr>
        <w:t xml:space="preserve"> for 2017/18. This line holds the costs relating to the payment of the pensions deficit recovery sum as a lump sum at the start of the financial year in return for a </w:t>
      </w:r>
      <w:r>
        <w:rPr>
          <w:rFonts w:cs="Courier New"/>
          <w:szCs w:val="22"/>
        </w:rPr>
        <w:t xml:space="preserve">discount. This line was not present in the </w:t>
      </w:r>
      <w:r w:rsidRPr="00DD4303">
        <w:rPr>
          <w:rFonts w:cs="Courier New"/>
          <w:szCs w:val="22"/>
        </w:rPr>
        <w:t>Comprehensive Income and Expenditure Statement</w:t>
      </w:r>
      <w:r>
        <w:rPr>
          <w:rFonts w:cs="Courier New"/>
          <w:szCs w:val="22"/>
        </w:rPr>
        <w:t xml:space="preserve"> for 2016/17 as the deficit lump sum for 2016/17 was prepaid during 2014/15.</w:t>
      </w:r>
    </w:p>
    <w:p w:rsidR="0099287A" w:rsidRPr="0099287A" w:rsidRDefault="00131767" w:rsidP="00EC6A7B">
      <w:pPr>
        <w:numPr>
          <w:ilvl w:val="0"/>
          <w:numId w:val="32"/>
        </w:numPr>
        <w:spacing w:after="120"/>
        <w:jc w:val="both"/>
        <w:rPr>
          <w:b/>
          <w:szCs w:val="22"/>
        </w:rPr>
      </w:pPr>
      <w:r w:rsidRPr="0099287A">
        <w:rPr>
          <w:rFonts w:cs="Courier New"/>
          <w:szCs w:val="22"/>
        </w:rPr>
        <w:t>N</w:t>
      </w:r>
      <w:r w:rsidR="00201C5D" w:rsidRPr="0099287A">
        <w:rPr>
          <w:rFonts w:cs="Courier New"/>
          <w:szCs w:val="22"/>
        </w:rPr>
        <w:t>et income</w:t>
      </w:r>
      <w:r w:rsidR="007A316A" w:rsidRPr="0099287A">
        <w:rPr>
          <w:rFonts w:cs="Courier New"/>
          <w:szCs w:val="22"/>
        </w:rPr>
        <w:t xml:space="preserve"> on a funding basis under</w:t>
      </w:r>
      <w:r w:rsidR="00201C5D" w:rsidRPr="0099287A">
        <w:rPr>
          <w:rFonts w:cs="Courier New"/>
          <w:szCs w:val="22"/>
        </w:rPr>
        <w:t xml:space="preserve"> Other Income and Expenditure </w:t>
      </w:r>
      <w:r w:rsidR="007A316A" w:rsidRPr="0099287A">
        <w:rPr>
          <w:rFonts w:cs="Courier New"/>
          <w:szCs w:val="22"/>
        </w:rPr>
        <w:t xml:space="preserve">has moved very little although there have been some significant </w:t>
      </w:r>
      <w:r w:rsidR="00201C5D" w:rsidRPr="0099287A">
        <w:rPr>
          <w:rFonts w:cs="Courier New"/>
          <w:szCs w:val="22"/>
        </w:rPr>
        <w:t>movement</w:t>
      </w:r>
      <w:r w:rsidR="007A316A" w:rsidRPr="0099287A">
        <w:rPr>
          <w:rFonts w:cs="Courier New"/>
          <w:szCs w:val="22"/>
        </w:rPr>
        <w:t xml:space="preserve">s in both income and expenditure but these movements have </w:t>
      </w:r>
      <w:r w:rsidR="00A21479">
        <w:rPr>
          <w:rFonts w:cs="Courier New"/>
          <w:szCs w:val="22"/>
        </w:rPr>
        <w:t>‘</w:t>
      </w:r>
      <w:r w:rsidR="007A316A" w:rsidRPr="0099287A">
        <w:rPr>
          <w:rFonts w:cs="Courier New"/>
          <w:szCs w:val="22"/>
        </w:rPr>
        <w:t>cancelled each other out</w:t>
      </w:r>
      <w:r w:rsidR="00A21479">
        <w:rPr>
          <w:rFonts w:cs="Courier New"/>
          <w:szCs w:val="22"/>
        </w:rPr>
        <w:t>’</w:t>
      </w:r>
      <w:r w:rsidR="007A316A" w:rsidRPr="0099287A">
        <w:rPr>
          <w:rFonts w:cs="Courier New"/>
          <w:szCs w:val="22"/>
        </w:rPr>
        <w:t xml:space="preserve">.  </w:t>
      </w:r>
      <w:r w:rsidR="0099287A">
        <w:rPr>
          <w:rFonts w:cs="Courier New"/>
          <w:szCs w:val="22"/>
        </w:rPr>
        <w:t xml:space="preserve">These movements are discussed in paragraph </w:t>
      </w:r>
      <w:r w:rsidR="00D21015" w:rsidRPr="00D21015">
        <w:rPr>
          <w:rFonts w:cs="Courier New"/>
          <w:szCs w:val="22"/>
        </w:rPr>
        <w:t>5</w:t>
      </w:r>
      <w:r w:rsidR="0099287A" w:rsidRPr="00D21015">
        <w:rPr>
          <w:rFonts w:cs="Courier New"/>
          <w:szCs w:val="22"/>
        </w:rPr>
        <w:t>.8</w:t>
      </w:r>
      <w:r w:rsidR="0099287A">
        <w:rPr>
          <w:rFonts w:cs="Courier New"/>
          <w:szCs w:val="22"/>
        </w:rPr>
        <w:t xml:space="preserve"> under the </w:t>
      </w:r>
      <w:r w:rsidR="0099287A" w:rsidRPr="00DD4303">
        <w:rPr>
          <w:rFonts w:cs="Courier New"/>
          <w:szCs w:val="22"/>
        </w:rPr>
        <w:t xml:space="preserve">Comprehensive Income </w:t>
      </w:r>
      <w:r w:rsidR="0099287A">
        <w:rPr>
          <w:rFonts w:cs="Courier New"/>
          <w:szCs w:val="22"/>
        </w:rPr>
        <w:t>&amp;</w:t>
      </w:r>
      <w:r w:rsidR="0099287A" w:rsidRPr="00DD4303">
        <w:rPr>
          <w:rFonts w:cs="Courier New"/>
          <w:szCs w:val="22"/>
        </w:rPr>
        <w:t xml:space="preserve"> Expenditure Statement</w:t>
      </w:r>
      <w:r w:rsidR="0099287A">
        <w:rPr>
          <w:rFonts w:cs="Courier New"/>
          <w:szCs w:val="22"/>
        </w:rPr>
        <w:t xml:space="preserve"> section of this report.</w:t>
      </w:r>
    </w:p>
    <w:p w:rsidR="00201C5D" w:rsidRPr="0099287A" w:rsidRDefault="00A21479" w:rsidP="006A30FA">
      <w:pPr>
        <w:numPr>
          <w:ilvl w:val="0"/>
          <w:numId w:val="32"/>
        </w:numPr>
        <w:spacing w:after="120"/>
        <w:jc w:val="both"/>
        <w:rPr>
          <w:b/>
          <w:szCs w:val="22"/>
        </w:rPr>
      </w:pPr>
      <w:r>
        <w:rPr>
          <w:rFonts w:cs="Courier New"/>
          <w:szCs w:val="22"/>
        </w:rPr>
        <w:t xml:space="preserve">The overall position is that there was </w:t>
      </w:r>
      <w:r w:rsidR="00201C5D" w:rsidRPr="0099287A">
        <w:rPr>
          <w:rFonts w:cs="Courier New"/>
          <w:szCs w:val="22"/>
        </w:rPr>
        <w:t>a surplus o</w:t>
      </w:r>
      <w:r w:rsidR="00267EE4" w:rsidRPr="0099287A">
        <w:rPr>
          <w:rFonts w:cs="Courier New"/>
          <w:szCs w:val="22"/>
        </w:rPr>
        <w:t>f £0</w:t>
      </w:r>
      <w:r w:rsidR="00201C5D" w:rsidRPr="0099287A">
        <w:rPr>
          <w:rFonts w:cs="Courier New"/>
          <w:szCs w:val="22"/>
        </w:rPr>
        <w:t>.</w:t>
      </w:r>
      <w:r w:rsidR="00267EE4" w:rsidRPr="0099287A">
        <w:rPr>
          <w:rFonts w:cs="Courier New"/>
          <w:szCs w:val="22"/>
        </w:rPr>
        <w:t>395</w:t>
      </w:r>
      <w:r w:rsidR="00201C5D" w:rsidRPr="0099287A">
        <w:rPr>
          <w:rFonts w:cs="Courier New"/>
          <w:szCs w:val="22"/>
        </w:rPr>
        <w:t xml:space="preserve">m on the General Fund Balance </w:t>
      </w:r>
      <w:r w:rsidR="00267EE4" w:rsidRPr="0099287A">
        <w:rPr>
          <w:rFonts w:cs="Courier New"/>
          <w:szCs w:val="22"/>
        </w:rPr>
        <w:t>in 2017/18</w:t>
      </w:r>
      <w:r w:rsidR="00201C5D" w:rsidRPr="0099287A">
        <w:rPr>
          <w:rFonts w:cs="Courier New"/>
          <w:szCs w:val="22"/>
        </w:rPr>
        <w:t xml:space="preserve">. </w:t>
      </w:r>
      <w:r w:rsidR="00267EE4" w:rsidRPr="0099287A">
        <w:rPr>
          <w:rFonts w:cs="Courier New"/>
          <w:szCs w:val="22"/>
        </w:rPr>
        <w:t xml:space="preserve">This is made up of a </w:t>
      </w:r>
      <w:r w:rsidR="00201C5D" w:rsidRPr="0099287A">
        <w:rPr>
          <w:rFonts w:cs="Courier New"/>
          <w:szCs w:val="22"/>
        </w:rPr>
        <w:t>£</w:t>
      </w:r>
      <w:r w:rsidR="00267EE4" w:rsidRPr="0099287A">
        <w:rPr>
          <w:rFonts w:cs="Courier New"/>
          <w:szCs w:val="22"/>
        </w:rPr>
        <w:t>0</w:t>
      </w:r>
      <w:r w:rsidR="00201C5D" w:rsidRPr="0099287A">
        <w:rPr>
          <w:rFonts w:cs="Courier New"/>
          <w:szCs w:val="22"/>
        </w:rPr>
        <w:t>.</w:t>
      </w:r>
      <w:r w:rsidR="00267EE4" w:rsidRPr="0099287A">
        <w:rPr>
          <w:rFonts w:cs="Courier New"/>
          <w:szCs w:val="22"/>
        </w:rPr>
        <w:t>075</w:t>
      </w:r>
      <w:r w:rsidR="00201C5D" w:rsidRPr="0099287A">
        <w:rPr>
          <w:rFonts w:cs="Courier New"/>
          <w:szCs w:val="22"/>
        </w:rPr>
        <w:t xml:space="preserve">m </w:t>
      </w:r>
      <w:r w:rsidR="00267EE4" w:rsidRPr="0099287A">
        <w:rPr>
          <w:rFonts w:cs="Courier New"/>
          <w:szCs w:val="22"/>
        </w:rPr>
        <w:t>net use of</w:t>
      </w:r>
      <w:r w:rsidR="00201C5D" w:rsidRPr="0099287A">
        <w:rPr>
          <w:rFonts w:cs="Courier New"/>
          <w:szCs w:val="22"/>
        </w:rPr>
        <w:t xml:space="preserve"> Earmarked Reserves </w:t>
      </w:r>
      <w:r w:rsidR="00267EE4" w:rsidRPr="0099287A">
        <w:rPr>
          <w:rFonts w:cs="Courier New"/>
          <w:szCs w:val="22"/>
        </w:rPr>
        <w:t xml:space="preserve">offset against a </w:t>
      </w:r>
      <w:r w:rsidR="00201C5D" w:rsidRPr="0099287A">
        <w:rPr>
          <w:rFonts w:cs="Courier New"/>
          <w:szCs w:val="22"/>
        </w:rPr>
        <w:t>£0.</w:t>
      </w:r>
      <w:r w:rsidR="00267EE4" w:rsidRPr="0099287A">
        <w:rPr>
          <w:rFonts w:cs="Courier New"/>
          <w:szCs w:val="22"/>
        </w:rPr>
        <w:t>470</w:t>
      </w:r>
      <w:r w:rsidR="00201C5D" w:rsidRPr="0099287A">
        <w:rPr>
          <w:rFonts w:cs="Courier New"/>
          <w:szCs w:val="22"/>
        </w:rPr>
        <w:t xml:space="preserve">m </w:t>
      </w:r>
      <w:r w:rsidR="0099287A">
        <w:rPr>
          <w:rFonts w:cs="Courier New"/>
          <w:szCs w:val="22"/>
        </w:rPr>
        <w:t>actual year-</w:t>
      </w:r>
      <w:r w:rsidR="00201C5D" w:rsidRPr="0099287A">
        <w:rPr>
          <w:rFonts w:cs="Courier New"/>
          <w:szCs w:val="22"/>
        </w:rPr>
        <w:t xml:space="preserve">end outturn surplus as </w:t>
      </w:r>
      <w:r>
        <w:rPr>
          <w:rFonts w:cs="Courier New"/>
          <w:szCs w:val="22"/>
        </w:rPr>
        <w:t>set out</w:t>
      </w:r>
      <w:r w:rsidR="00201C5D" w:rsidRPr="0099287A">
        <w:rPr>
          <w:rFonts w:cs="Courier New"/>
          <w:szCs w:val="22"/>
        </w:rPr>
        <w:t xml:space="preserve"> in the Budget Outturn Report.</w:t>
      </w:r>
      <w:r w:rsidR="006A30FA" w:rsidRPr="006A30FA">
        <w:t xml:space="preserve"> </w:t>
      </w:r>
      <w:r w:rsidR="006A30FA" w:rsidRPr="006A30FA">
        <w:rPr>
          <w:rFonts w:cs="Courier New"/>
          <w:szCs w:val="22"/>
        </w:rPr>
        <w:t>There were also reclassifications between the General Fund Balance and Earmarked Reserves of net £0.290m</w:t>
      </w:r>
      <w:r w:rsidR="006A30FA">
        <w:rPr>
          <w:rFonts w:cs="Courier New"/>
          <w:szCs w:val="22"/>
        </w:rPr>
        <w:t xml:space="preserve"> during the year</w:t>
      </w:r>
      <w:r>
        <w:rPr>
          <w:rFonts w:cs="Courier New"/>
          <w:szCs w:val="22"/>
        </w:rPr>
        <w:t xml:space="preserve"> as a result of a decision to consolidate the number of reserves held</w:t>
      </w:r>
      <w:r w:rsidR="006A30FA">
        <w:rPr>
          <w:rFonts w:cs="Courier New"/>
          <w:szCs w:val="22"/>
        </w:rPr>
        <w:t>. More information on this reclassification of reserves is available in the Budget Outturn Report elsewhere on this agenda.</w:t>
      </w:r>
    </w:p>
    <w:p w:rsidR="00201C5D" w:rsidRDefault="00201C5D" w:rsidP="00201C5D">
      <w:pPr>
        <w:numPr>
          <w:ilvl w:val="0"/>
          <w:numId w:val="32"/>
        </w:numPr>
        <w:spacing w:after="120"/>
        <w:jc w:val="both"/>
        <w:rPr>
          <w:b/>
          <w:szCs w:val="22"/>
        </w:rPr>
      </w:pPr>
      <w:r>
        <w:rPr>
          <w:rFonts w:cs="Courier New"/>
          <w:szCs w:val="22"/>
        </w:rPr>
        <w:t xml:space="preserve">Presented in the other columns of the EFA are the accounting adjustments required under generally accepted accounting practice to be charged to each directorate and Other Income and Expenditure, and how this impacts on the Net Expenditure shown in the Comprehensive Income and Expenditure </w:t>
      </w:r>
      <w:r w:rsidR="00267EE4">
        <w:rPr>
          <w:rFonts w:cs="Courier New"/>
          <w:szCs w:val="22"/>
        </w:rPr>
        <w:t>Statement</w:t>
      </w:r>
      <w:r>
        <w:rPr>
          <w:rFonts w:cs="Courier New"/>
          <w:szCs w:val="22"/>
        </w:rPr>
        <w:t>.</w:t>
      </w:r>
    </w:p>
    <w:p w:rsidR="00267EE4" w:rsidRDefault="00267EE4">
      <w:pPr>
        <w:rPr>
          <w:b/>
          <w:szCs w:val="22"/>
        </w:rPr>
      </w:pPr>
      <w:r>
        <w:rPr>
          <w:b/>
          <w:szCs w:val="22"/>
        </w:rPr>
        <w:br w:type="page"/>
      </w:r>
    </w:p>
    <w:p w:rsidR="00201C5D" w:rsidRPr="001D3551" w:rsidRDefault="00201C5D" w:rsidP="00201C5D">
      <w:pPr>
        <w:pBdr>
          <w:top w:val="single" w:sz="2" w:space="1" w:color="FFFFFF"/>
          <w:left w:val="single" w:sz="2" w:space="0" w:color="FFFFFF"/>
          <w:bottom w:val="single" w:sz="2" w:space="2" w:color="FFFFFF"/>
          <w:right w:val="single" w:sz="2" w:space="4" w:color="FFFFFF"/>
        </w:pBdr>
        <w:tabs>
          <w:tab w:val="left" w:pos="567"/>
        </w:tabs>
        <w:ind w:right="141"/>
        <w:jc w:val="both"/>
        <w:rPr>
          <w:u w:val="single"/>
          <w:lang w:eastAsia="en-US"/>
        </w:rPr>
      </w:pPr>
      <w:r w:rsidRPr="001D3551">
        <w:rPr>
          <w:u w:val="single"/>
          <w:lang w:eastAsia="en-US"/>
        </w:rPr>
        <w:t xml:space="preserve">Comprehensive Income and Expenditure Statement </w:t>
      </w:r>
      <w:r w:rsidR="00267EE4">
        <w:rPr>
          <w:u w:val="single"/>
          <w:lang w:eastAsia="en-US"/>
        </w:rPr>
        <w:t>(CI&amp;ES)</w:t>
      </w:r>
    </w:p>
    <w:p w:rsidR="00201C5D" w:rsidRPr="001D3551" w:rsidRDefault="00201C5D" w:rsidP="00201C5D">
      <w:pPr>
        <w:rPr>
          <w:rFonts w:cs="Courier New"/>
          <w:szCs w:val="22"/>
        </w:rPr>
      </w:pPr>
    </w:p>
    <w:p w:rsidR="00201C5D" w:rsidRDefault="00201C5D" w:rsidP="00201C5D">
      <w:pPr>
        <w:keepNext/>
        <w:numPr>
          <w:ilvl w:val="1"/>
          <w:numId w:val="8"/>
        </w:numPr>
        <w:ind w:hanging="436"/>
        <w:jc w:val="both"/>
        <w:outlineLvl w:val="0"/>
        <w:rPr>
          <w:rFonts w:cs="Arial"/>
          <w:szCs w:val="22"/>
        </w:rPr>
      </w:pPr>
      <w:r w:rsidRPr="001D3551">
        <w:rPr>
          <w:rFonts w:cs="Arial"/>
          <w:szCs w:val="22"/>
        </w:rPr>
        <w:t>This statement shows the accounting cost in the year of providing services in accordance with generally accepted accounting practices. This is not the amount to be funded from taxation, since authorities raise taxation to cover expenditure in accordance with regulations. The taxation position is shown in the</w:t>
      </w:r>
      <w:r>
        <w:rPr>
          <w:rFonts w:cs="Arial"/>
          <w:szCs w:val="22"/>
        </w:rPr>
        <w:t xml:space="preserve"> Expenditure and Funding Analysis at paragraph </w:t>
      </w:r>
      <w:r w:rsidR="00267EE4" w:rsidRPr="00267EE4">
        <w:rPr>
          <w:rFonts w:cs="Arial"/>
          <w:szCs w:val="22"/>
        </w:rPr>
        <w:t>7.6</w:t>
      </w:r>
      <w:r w:rsidRPr="00267EE4">
        <w:rPr>
          <w:rFonts w:cs="Arial"/>
          <w:szCs w:val="22"/>
        </w:rPr>
        <w:t xml:space="preserve"> and</w:t>
      </w:r>
      <w:r>
        <w:rPr>
          <w:rFonts w:cs="Arial"/>
          <w:szCs w:val="22"/>
        </w:rPr>
        <w:t xml:space="preserve"> the </w:t>
      </w:r>
      <w:r w:rsidRPr="001D3551">
        <w:rPr>
          <w:rFonts w:cs="Arial"/>
          <w:szCs w:val="22"/>
        </w:rPr>
        <w:t>Movement</w:t>
      </w:r>
      <w:r>
        <w:rPr>
          <w:rFonts w:cs="Arial"/>
          <w:szCs w:val="22"/>
        </w:rPr>
        <w:t xml:space="preserve"> in Reserves Statement at paragraph </w:t>
      </w:r>
      <w:r w:rsidR="00F27D31">
        <w:rPr>
          <w:rFonts w:cs="Arial"/>
          <w:szCs w:val="22"/>
        </w:rPr>
        <w:t>7.9.</w:t>
      </w:r>
    </w:p>
    <w:p w:rsidR="00201C5D" w:rsidRPr="003365A5" w:rsidRDefault="00201C5D" w:rsidP="00201C5D">
      <w:pPr>
        <w:keepNext/>
        <w:ind w:left="720"/>
        <w:jc w:val="both"/>
        <w:outlineLvl w:val="0"/>
        <w:rPr>
          <w:rFonts w:cs="Arial"/>
          <w:szCs w:val="22"/>
        </w:rPr>
      </w:pPr>
    </w:p>
    <w:tbl>
      <w:tblPr>
        <w:tblW w:w="9076" w:type="dxa"/>
        <w:jc w:val="center"/>
        <w:tblLayout w:type="fixed"/>
        <w:tblLook w:val="01E0" w:firstRow="1" w:lastRow="1" w:firstColumn="1" w:lastColumn="1" w:noHBand="0" w:noVBand="0"/>
      </w:tblPr>
      <w:tblGrid>
        <w:gridCol w:w="898"/>
        <w:gridCol w:w="898"/>
        <w:gridCol w:w="897"/>
        <w:gridCol w:w="3692"/>
        <w:gridCol w:w="897"/>
        <w:gridCol w:w="897"/>
        <w:gridCol w:w="897"/>
      </w:tblGrid>
      <w:tr w:rsidR="00201C5D" w:rsidRPr="00EC06E7" w:rsidTr="00201C5D">
        <w:trPr>
          <w:trHeight w:val="378"/>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1C5D" w:rsidRPr="00EC06E7" w:rsidRDefault="00201C5D" w:rsidP="00081531">
            <w:pPr>
              <w:jc w:val="center"/>
              <w:rPr>
                <w:rFonts w:cs="Courier New"/>
                <w:b/>
                <w:sz w:val="18"/>
                <w:szCs w:val="18"/>
              </w:rPr>
            </w:pPr>
            <w:r>
              <w:rPr>
                <w:rFonts w:cs="Courier New"/>
                <w:b/>
                <w:sz w:val="18"/>
                <w:szCs w:val="18"/>
              </w:rPr>
              <w:t>2016/17</w:t>
            </w:r>
          </w:p>
        </w:tc>
        <w:tc>
          <w:tcPr>
            <w:tcW w:w="3692" w:type="dxa"/>
            <w:tcBorders>
              <w:top w:val="single" w:sz="4" w:space="0" w:color="auto"/>
              <w:left w:val="single" w:sz="4" w:space="0" w:color="auto"/>
              <w:right w:val="single" w:sz="4" w:space="0" w:color="auto"/>
            </w:tcBorders>
            <w:shd w:val="clear" w:color="auto" w:fill="BDD6EE" w:themeFill="accent1" w:themeFillTint="66"/>
            <w:vAlign w:val="center"/>
          </w:tcPr>
          <w:p w:rsidR="00201C5D" w:rsidRPr="00EC06E7" w:rsidRDefault="00201C5D" w:rsidP="00081531">
            <w:pPr>
              <w:jc w:val="center"/>
              <w:rPr>
                <w:rFonts w:cs="Courier New"/>
                <w:sz w:val="18"/>
                <w:szCs w:val="18"/>
              </w:rPr>
            </w:pPr>
          </w:p>
        </w:tc>
        <w:tc>
          <w:tcPr>
            <w:tcW w:w="269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1C5D" w:rsidRPr="00EC06E7" w:rsidRDefault="00201C5D" w:rsidP="00081531">
            <w:pPr>
              <w:jc w:val="center"/>
              <w:rPr>
                <w:rFonts w:cs="Courier New"/>
                <w:b/>
                <w:sz w:val="18"/>
                <w:szCs w:val="18"/>
              </w:rPr>
            </w:pPr>
            <w:r>
              <w:rPr>
                <w:rFonts w:cs="Courier New"/>
                <w:b/>
                <w:sz w:val="18"/>
                <w:szCs w:val="18"/>
              </w:rPr>
              <w:t>2017/18</w:t>
            </w:r>
          </w:p>
        </w:tc>
      </w:tr>
      <w:tr w:rsidR="00201C5D" w:rsidRPr="00EC06E7" w:rsidTr="00201C5D">
        <w:trPr>
          <w:cantSplit/>
          <w:trHeight w:val="1508"/>
          <w:jc w:val="center"/>
        </w:trPr>
        <w:tc>
          <w:tcPr>
            <w:tcW w:w="898" w:type="dxa"/>
            <w:tcBorders>
              <w:top w:val="single" w:sz="4" w:space="0" w:color="auto"/>
              <w:left w:val="single" w:sz="4" w:space="0" w:color="auto"/>
              <w:right w:val="single" w:sz="4" w:space="0" w:color="auto"/>
            </w:tcBorders>
            <w:shd w:val="clear" w:color="auto" w:fill="BDD6EE" w:themeFill="accent1" w:themeFillTint="66"/>
            <w:tcMar>
              <w:left w:w="28" w:type="dxa"/>
              <w:right w:w="28" w:type="dxa"/>
            </w:tcMar>
            <w:textDirection w:val="btLr"/>
            <w:vAlign w:val="center"/>
          </w:tcPr>
          <w:p w:rsidR="00201C5D" w:rsidRPr="00EC06E7" w:rsidRDefault="00201C5D" w:rsidP="00081531">
            <w:pPr>
              <w:ind w:left="113" w:right="113"/>
              <w:rPr>
                <w:rFonts w:cs="Courier New"/>
                <w:b/>
                <w:sz w:val="18"/>
                <w:szCs w:val="18"/>
              </w:rPr>
            </w:pPr>
            <w:r w:rsidRPr="00EC06E7">
              <w:rPr>
                <w:rFonts w:cs="Courier New"/>
                <w:b/>
                <w:sz w:val="18"/>
                <w:szCs w:val="18"/>
              </w:rPr>
              <w:t>Gross Expenditure</w:t>
            </w:r>
          </w:p>
        </w:tc>
        <w:tc>
          <w:tcPr>
            <w:tcW w:w="898" w:type="dxa"/>
            <w:tcBorders>
              <w:top w:val="single" w:sz="4" w:space="0" w:color="auto"/>
              <w:left w:val="single" w:sz="4" w:space="0" w:color="auto"/>
              <w:right w:val="single" w:sz="4" w:space="0" w:color="auto"/>
            </w:tcBorders>
            <w:shd w:val="clear" w:color="auto" w:fill="BDD6EE" w:themeFill="accent1" w:themeFillTint="66"/>
            <w:tcMar>
              <w:left w:w="28" w:type="dxa"/>
              <w:right w:w="28" w:type="dxa"/>
            </w:tcMar>
            <w:textDirection w:val="btLr"/>
            <w:vAlign w:val="center"/>
          </w:tcPr>
          <w:p w:rsidR="00201C5D" w:rsidRPr="00EC06E7" w:rsidRDefault="00201C5D" w:rsidP="00081531">
            <w:pPr>
              <w:ind w:left="113" w:right="113"/>
              <w:rPr>
                <w:rFonts w:cs="Courier New"/>
                <w:b/>
                <w:sz w:val="18"/>
                <w:szCs w:val="18"/>
              </w:rPr>
            </w:pPr>
            <w:r w:rsidRPr="00EC06E7">
              <w:rPr>
                <w:rFonts w:cs="Courier New"/>
                <w:b/>
                <w:sz w:val="18"/>
                <w:szCs w:val="18"/>
              </w:rPr>
              <w:t>Gross Income</w:t>
            </w:r>
          </w:p>
        </w:tc>
        <w:tc>
          <w:tcPr>
            <w:tcW w:w="897" w:type="dxa"/>
            <w:tcBorders>
              <w:top w:val="single" w:sz="4" w:space="0" w:color="auto"/>
              <w:left w:val="single" w:sz="4" w:space="0" w:color="auto"/>
              <w:right w:val="single" w:sz="4" w:space="0" w:color="auto"/>
            </w:tcBorders>
            <w:shd w:val="clear" w:color="auto" w:fill="BDD6EE" w:themeFill="accent1" w:themeFillTint="66"/>
            <w:tcMar>
              <w:left w:w="28" w:type="dxa"/>
              <w:right w:w="28" w:type="dxa"/>
            </w:tcMar>
            <w:textDirection w:val="btLr"/>
            <w:vAlign w:val="center"/>
          </w:tcPr>
          <w:p w:rsidR="00201C5D" w:rsidRPr="00EC06E7" w:rsidRDefault="00201C5D" w:rsidP="00081531">
            <w:pPr>
              <w:ind w:left="113" w:right="113"/>
              <w:rPr>
                <w:rFonts w:cs="Courier New"/>
                <w:b/>
                <w:sz w:val="18"/>
                <w:szCs w:val="18"/>
              </w:rPr>
            </w:pPr>
            <w:r w:rsidRPr="00EC06E7">
              <w:rPr>
                <w:rFonts w:cs="Courier New"/>
                <w:b/>
                <w:sz w:val="18"/>
                <w:szCs w:val="18"/>
              </w:rPr>
              <w:t>Net Expenditure</w:t>
            </w:r>
          </w:p>
        </w:tc>
        <w:tc>
          <w:tcPr>
            <w:tcW w:w="3692" w:type="dxa"/>
            <w:tcBorders>
              <w:left w:val="single" w:sz="4" w:space="0" w:color="auto"/>
              <w:right w:val="single" w:sz="4" w:space="0" w:color="auto"/>
            </w:tcBorders>
            <w:shd w:val="clear" w:color="auto" w:fill="BDD6EE" w:themeFill="accent1" w:themeFillTint="66"/>
            <w:textDirection w:val="btLr"/>
            <w:vAlign w:val="center"/>
          </w:tcPr>
          <w:p w:rsidR="00201C5D" w:rsidRPr="00EC06E7" w:rsidRDefault="00201C5D" w:rsidP="00081531">
            <w:pPr>
              <w:ind w:left="113" w:right="113"/>
              <w:jc w:val="center"/>
              <w:rPr>
                <w:rFonts w:cs="Courier New"/>
                <w:sz w:val="18"/>
                <w:szCs w:val="18"/>
              </w:rPr>
            </w:pPr>
          </w:p>
        </w:tc>
        <w:tc>
          <w:tcPr>
            <w:tcW w:w="897" w:type="dxa"/>
            <w:tcBorders>
              <w:top w:val="single" w:sz="4" w:space="0" w:color="auto"/>
              <w:left w:val="single" w:sz="4" w:space="0" w:color="auto"/>
              <w:right w:val="single" w:sz="4" w:space="0" w:color="auto"/>
            </w:tcBorders>
            <w:shd w:val="clear" w:color="auto" w:fill="BDD6EE" w:themeFill="accent1" w:themeFillTint="66"/>
            <w:tcMar>
              <w:left w:w="28" w:type="dxa"/>
              <w:right w:w="28" w:type="dxa"/>
            </w:tcMar>
            <w:textDirection w:val="btLr"/>
            <w:vAlign w:val="center"/>
          </w:tcPr>
          <w:p w:rsidR="00201C5D" w:rsidRPr="00EC06E7" w:rsidRDefault="00201C5D" w:rsidP="00081531">
            <w:pPr>
              <w:ind w:left="113" w:right="113"/>
              <w:rPr>
                <w:rFonts w:cs="Courier New"/>
                <w:b/>
                <w:sz w:val="18"/>
                <w:szCs w:val="18"/>
              </w:rPr>
            </w:pPr>
            <w:r w:rsidRPr="00EC06E7">
              <w:rPr>
                <w:rFonts w:cs="Courier New"/>
                <w:b/>
                <w:sz w:val="18"/>
                <w:szCs w:val="18"/>
              </w:rPr>
              <w:t>Gross Expenditure</w:t>
            </w:r>
          </w:p>
        </w:tc>
        <w:tc>
          <w:tcPr>
            <w:tcW w:w="897" w:type="dxa"/>
            <w:tcBorders>
              <w:top w:val="single" w:sz="4" w:space="0" w:color="auto"/>
              <w:left w:val="single" w:sz="4" w:space="0" w:color="auto"/>
              <w:right w:val="single" w:sz="4" w:space="0" w:color="auto"/>
            </w:tcBorders>
            <w:shd w:val="clear" w:color="auto" w:fill="BDD6EE" w:themeFill="accent1" w:themeFillTint="66"/>
            <w:tcMar>
              <w:left w:w="28" w:type="dxa"/>
              <w:right w:w="28" w:type="dxa"/>
            </w:tcMar>
            <w:textDirection w:val="btLr"/>
            <w:vAlign w:val="center"/>
          </w:tcPr>
          <w:p w:rsidR="00201C5D" w:rsidRPr="00EC06E7" w:rsidRDefault="00201C5D" w:rsidP="00081531">
            <w:pPr>
              <w:ind w:left="113" w:right="113"/>
              <w:rPr>
                <w:rFonts w:cs="Courier New"/>
                <w:b/>
                <w:sz w:val="18"/>
                <w:szCs w:val="18"/>
              </w:rPr>
            </w:pPr>
            <w:r w:rsidRPr="00EC06E7">
              <w:rPr>
                <w:rFonts w:cs="Courier New"/>
                <w:b/>
                <w:sz w:val="18"/>
                <w:szCs w:val="18"/>
              </w:rPr>
              <w:t>Gross Income</w:t>
            </w:r>
          </w:p>
        </w:tc>
        <w:tc>
          <w:tcPr>
            <w:tcW w:w="897" w:type="dxa"/>
            <w:tcBorders>
              <w:top w:val="single" w:sz="4" w:space="0" w:color="auto"/>
              <w:left w:val="single" w:sz="4" w:space="0" w:color="auto"/>
              <w:right w:val="single" w:sz="4" w:space="0" w:color="auto"/>
            </w:tcBorders>
            <w:shd w:val="clear" w:color="auto" w:fill="BDD6EE" w:themeFill="accent1" w:themeFillTint="66"/>
            <w:tcMar>
              <w:left w:w="28" w:type="dxa"/>
              <w:right w:w="28" w:type="dxa"/>
            </w:tcMar>
            <w:textDirection w:val="btLr"/>
            <w:vAlign w:val="center"/>
          </w:tcPr>
          <w:p w:rsidR="00201C5D" w:rsidRPr="00EC06E7" w:rsidRDefault="00201C5D" w:rsidP="00081531">
            <w:pPr>
              <w:ind w:left="113" w:right="113"/>
              <w:rPr>
                <w:rFonts w:cs="Courier New"/>
                <w:b/>
                <w:sz w:val="18"/>
                <w:szCs w:val="18"/>
              </w:rPr>
            </w:pPr>
            <w:r w:rsidRPr="00EC06E7">
              <w:rPr>
                <w:rFonts w:cs="Courier New"/>
                <w:b/>
                <w:sz w:val="18"/>
                <w:szCs w:val="18"/>
              </w:rPr>
              <w:t>Net Expenditure</w:t>
            </w:r>
          </w:p>
        </w:tc>
      </w:tr>
      <w:tr w:rsidR="00201C5D" w:rsidRPr="00EC06E7" w:rsidTr="00201C5D">
        <w:trPr>
          <w:trHeight w:val="360"/>
          <w:jc w:val="center"/>
        </w:trPr>
        <w:tc>
          <w:tcPr>
            <w:tcW w:w="898" w:type="dxa"/>
            <w:tcBorders>
              <w:left w:val="single" w:sz="4" w:space="0" w:color="auto"/>
              <w:bottom w:val="single" w:sz="4" w:space="0" w:color="auto"/>
              <w:right w:val="single" w:sz="4" w:space="0" w:color="auto"/>
            </w:tcBorders>
            <w:shd w:val="clear" w:color="auto" w:fill="BDD6EE" w:themeFill="accent1" w:themeFillTint="66"/>
            <w:tcMar>
              <w:left w:w="28" w:type="dxa"/>
              <w:right w:w="28" w:type="dxa"/>
            </w:tcMar>
            <w:vAlign w:val="center"/>
          </w:tcPr>
          <w:p w:rsidR="00201C5D" w:rsidRPr="00EC06E7" w:rsidRDefault="00201C5D" w:rsidP="00081531">
            <w:pPr>
              <w:jc w:val="center"/>
              <w:rPr>
                <w:rFonts w:cs="Courier New"/>
                <w:b/>
                <w:sz w:val="18"/>
                <w:szCs w:val="18"/>
              </w:rPr>
            </w:pPr>
            <w:r w:rsidRPr="00EC06E7">
              <w:rPr>
                <w:rFonts w:cs="Courier New"/>
                <w:b/>
                <w:sz w:val="18"/>
                <w:szCs w:val="18"/>
              </w:rPr>
              <w:t>£’000</w:t>
            </w:r>
          </w:p>
        </w:tc>
        <w:tc>
          <w:tcPr>
            <w:tcW w:w="898" w:type="dxa"/>
            <w:tcBorders>
              <w:left w:val="single" w:sz="4" w:space="0" w:color="auto"/>
              <w:bottom w:val="single" w:sz="4" w:space="0" w:color="auto"/>
              <w:right w:val="single" w:sz="4" w:space="0" w:color="auto"/>
            </w:tcBorders>
            <w:shd w:val="clear" w:color="auto" w:fill="BDD6EE" w:themeFill="accent1" w:themeFillTint="66"/>
            <w:tcMar>
              <w:left w:w="28" w:type="dxa"/>
              <w:right w:w="28" w:type="dxa"/>
            </w:tcMar>
            <w:vAlign w:val="center"/>
          </w:tcPr>
          <w:p w:rsidR="00201C5D" w:rsidRPr="00EC06E7" w:rsidRDefault="00201C5D" w:rsidP="00081531">
            <w:pPr>
              <w:jc w:val="center"/>
              <w:rPr>
                <w:rFonts w:cs="Courier New"/>
                <w:b/>
                <w:sz w:val="18"/>
                <w:szCs w:val="18"/>
              </w:rPr>
            </w:pPr>
            <w:r w:rsidRPr="00EC06E7">
              <w:rPr>
                <w:rFonts w:cs="Courier New"/>
                <w:b/>
                <w:sz w:val="18"/>
                <w:szCs w:val="18"/>
              </w:rPr>
              <w:t>£’000</w:t>
            </w:r>
          </w:p>
        </w:tc>
        <w:tc>
          <w:tcPr>
            <w:tcW w:w="897" w:type="dxa"/>
            <w:tcBorders>
              <w:left w:val="single" w:sz="4" w:space="0" w:color="auto"/>
              <w:bottom w:val="single" w:sz="4" w:space="0" w:color="auto"/>
              <w:right w:val="single" w:sz="4" w:space="0" w:color="auto"/>
            </w:tcBorders>
            <w:shd w:val="clear" w:color="auto" w:fill="BDD6EE" w:themeFill="accent1" w:themeFillTint="66"/>
            <w:tcMar>
              <w:left w:w="28" w:type="dxa"/>
              <w:right w:w="28" w:type="dxa"/>
            </w:tcMar>
            <w:vAlign w:val="center"/>
          </w:tcPr>
          <w:p w:rsidR="00201C5D" w:rsidRPr="00EC06E7" w:rsidRDefault="00201C5D" w:rsidP="00081531">
            <w:pPr>
              <w:jc w:val="center"/>
              <w:rPr>
                <w:rFonts w:cs="Courier New"/>
                <w:b/>
                <w:sz w:val="18"/>
                <w:szCs w:val="18"/>
              </w:rPr>
            </w:pPr>
            <w:r w:rsidRPr="00EC06E7">
              <w:rPr>
                <w:rFonts w:cs="Courier New"/>
                <w:b/>
                <w:sz w:val="18"/>
                <w:szCs w:val="18"/>
              </w:rPr>
              <w:t>£’000</w:t>
            </w:r>
          </w:p>
        </w:tc>
        <w:tc>
          <w:tcPr>
            <w:tcW w:w="3692" w:type="dxa"/>
            <w:tcBorders>
              <w:left w:val="single" w:sz="4" w:space="0" w:color="auto"/>
              <w:bottom w:val="single" w:sz="4" w:space="0" w:color="auto"/>
              <w:right w:val="single" w:sz="4" w:space="0" w:color="auto"/>
            </w:tcBorders>
            <w:shd w:val="clear" w:color="auto" w:fill="BDD6EE" w:themeFill="accent1" w:themeFillTint="66"/>
            <w:vAlign w:val="center"/>
          </w:tcPr>
          <w:p w:rsidR="00201C5D" w:rsidRPr="00EC06E7" w:rsidRDefault="00201C5D" w:rsidP="00081531">
            <w:pPr>
              <w:jc w:val="center"/>
              <w:rPr>
                <w:rFonts w:cs="Courier New"/>
                <w:sz w:val="18"/>
                <w:szCs w:val="18"/>
              </w:rPr>
            </w:pPr>
          </w:p>
        </w:tc>
        <w:tc>
          <w:tcPr>
            <w:tcW w:w="897" w:type="dxa"/>
            <w:tcBorders>
              <w:left w:val="single" w:sz="4" w:space="0" w:color="auto"/>
              <w:bottom w:val="single" w:sz="4" w:space="0" w:color="auto"/>
              <w:right w:val="single" w:sz="4" w:space="0" w:color="auto"/>
            </w:tcBorders>
            <w:shd w:val="clear" w:color="auto" w:fill="BDD6EE" w:themeFill="accent1" w:themeFillTint="66"/>
            <w:tcMar>
              <w:left w:w="28" w:type="dxa"/>
              <w:right w:w="28" w:type="dxa"/>
            </w:tcMar>
            <w:vAlign w:val="center"/>
          </w:tcPr>
          <w:p w:rsidR="00201C5D" w:rsidRPr="00EC06E7" w:rsidRDefault="00201C5D" w:rsidP="00081531">
            <w:pPr>
              <w:jc w:val="center"/>
              <w:rPr>
                <w:rFonts w:cs="Courier New"/>
                <w:b/>
                <w:sz w:val="18"/>
                <w:szCs w:val="18"/>
              </w:rPr>
            </w:pPr>
            <w:r w:rsidRPr="00EC06E7">
              <w:rPr>
                <w:rFonts w:cs="Courier New"/>
                <w:b/>
                <w:sz w:val="18"/>
                <w:szCs w:val="18"/>
              </w:rPr>
              <w:t>£’000</w:t>
            </w:r>
          </w:p>
        </w:tc>
        <w:tc>
          <w:tcPr>
            <w:tcW w:w="897" w:type="dxa"/>
            <w:tcBorders>
              <w:left w:val="single" w:sz="4" w:space="0" w:color="auto"/>
              <w:bottom w:val="single" w:sz="4" w:space="0" w:color="auto"/>
              <w:right w:val="single" w:sz="4" w:space="0" w:color="auto"/>
            </w:tcBorders>
            <w:shd w:val="clear" w:color="auto" w:fill="BDD6EE" w:themeFill="accent1" w:themeFillTint="66"/>
            <w:tcMar>
              <w:left w:w="28" w:type="dxa"/>
              <w:right w:w="28" w:type="dxa"/>
            </w:tcMar>
            <w:vAlign w:val="center"/>
          </w:tcPr>
          <w:p w:rsidR="00201C5D" w:rsidRPr="00EC06E7" w:rsidRDefault="00201C5D" w:rsidP="00081531">
            <w:pPr>
              <w:jc w:val="center"/>
              <w:rPr>
                <w:rFonts w:cs="Courier New"/>
                <w:b/>
                <w:sz w:val="18"/>
                <w:szCs w:val="18"/>
              </w:rPr>
            </w:pPr>
            <w:r w:rsidRPr="00EC06E7">
              <w:rPr>
                <w:rFonts w:cs="Courier New"/>
                <w:b/>
                <w:sz w:val="18"/>
                <w:szCs w:val="18"/>
              </w:rPr>
              <w:t>£’000</w:t>
            </w:r>
          </w:p>
        </w:tc>
        <w:tc>
          <w:tcPr>
            <w:tcW w:w="897" w:type="dxa"/>
            <w:tcBorders>
              <w:left w:val="single" w:sz="4" w:space="0" w:color="auto"/>
              <w:bottom w:val="single" w:sz="4" w:space="0" w:color="auto"/>
              <w:right w:val="single" w:sz="4" w:space="0" w:color="auto"/>
            </w:tcBorders>
            <w:shd w:val="clear" w:color="auto" w:fill="BDD6EE" w:themeFill="accent1" w:themeFillTint="66"/>
            <w:tcMar>
              <w:left w:w="28" w:type="dxa"/>
              <w:right w:w="28" w:type="dxa"/>
            </w:tcMar>
            <w:vAlign w:val="center"/>
          </w:tcPr>
          <w:p w:rsidR="00201C5D" w:rsidRPr="00EC06E7" w:rsidRDefault="00201C5D" w:rsidP="00081531">
            <w:pPr>
              <w:jc w:val="center"/>
              <w:rPr>
                <w:rFonts w:cs="Courier New"/>
                <w:b/>
                <w:sz w:val="18"/>
                <w:szCs w:val="18"/>
              </w:rPr>
            </w:pPr>
            <w:r w:rsidRPr="00EC06E7">
              <w:rPr>
                <w:rFonts w:cs="Courier New"/>
                <w:b/>
                <w:sz w:val="18"/>
                <w:szCs w:val="18"/>
              </w:rPr>
              <w:t>£’000</w:t>
            </w:r>
          </w:p>
        </w:tc>
      </w:tr>
      <w:tr w:rsidR="00201C5D" w:rsidRPr="00EC06E7" w:rsidTr="00201C5D">
        <w:trPr>
          <w:trHeight w:val="615"/>
          <w:jc w:val="center"/>
        </w:trPr>
        <w:tc>
          <w:tcPr>
            <w:tcW w:w="898"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2,508</w:t>
            </w:r>
          </w:p>
        </w:tc>
        <w:tc>
          <w:tcPr>
            <w:tcW w:w="89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(314)</w:t>
            </w:r>
          </w:p>
        </w:tc>
        <w:tc>
          <w:tcPr>
            <w:tcW w:w="89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2,194</w:t>
            </w:r>
          </w:p>
        </w:tc>
        <w:tc>
          <w:tcPr>
            <w:tcW w:w="369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Arial"/>
                <w:sz w:val="18"/>
                <w:szCs w:val="18"/>
              </w:rPr>
            </w:pPr>
            <w:r w:rsidRPr="00EC06E7">
              <w:rPr>
                <w:rFonts w:cs="Arial"/>
                <w:sz w:val="18"/>
                <w:szCs w:val="18"/>
              </w:rPr>
              <w:t>Chief Executives</w:t>
            </w:r>
          </w:p>
        </w:tc>
        <w:tc>
          <w:tcPr>
            <w:tcW w:w="89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Pr>
                <w:rFonts w:cs="Courier New"/>
                <w:sz w:val="18"/>
                <w:szCs w:val="18"/>
              </w:rPr>
              <w:t>3</w:t>
            </w:r>
            <w:r w:rsidRPr="00EC06E7">
              <w:rPr>
                <w:rFonts w:cs="Courier New"/>
                <w:sz w:val="18"/>
                <w:szCs w:val="18"/>
              </w:rPr>
              <w:t>,</w:t>
            </w:r>
            <w:r>
              <w:rPr>
                <w:rFonts w:cs="Courier New"/>
                <w:sz w:val="18"/>
                <w:szCs w:val="18"/>
              </w:rPr>
              <w:t>190</w:t>
            </w:r>
          </w:p>
        </w:tc>
        <w:tc>
          <w:tcPr>
            <w:tcW w:w="89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w:t>
            </w:r>
            <w:r>
              <w:rPr>
                <w:rFonts w:cs="Courier New"/>
                <w:sz w:val="18"/>
                <w:szCs w:val="18"/>
              </w:rPr>
              <w:t>200</w:t>
            </w:r>
            <w:r w:rsidRPr="00EC06E7">
              <w:rPr>
                <w:rFonts w:cs="Courier New"/>
                <w:sz w:val="18"/>
                <w:szCs w:val="18"/>
              </w:rPr>
              <w:t>)</w:t>
            </w:r>
          </w:p>
        </w:tc>
        <w:tc>
          <w:tcPr>
            <w:tcW w:w="897"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w:t>
            </w:r>
            <w:r>
              <w:rPr>
                <w:rFonts w:cs="Courier New"/>
                <w:sz w:val="18"/>
                <w:szCs w:val="18"/>
              </w:rPr>
              <w:t>990</w:t>
            </w:r>
          </w:p>
        </w:tc>
      </w:tr>
      <w:tr w:rsidR="00201C5D" w:rsidRPr="00EC06E7" w:rsidTr="00201C5D">
        <w:trPr>
          <w:trHeight w:val="593"/>
          <w:jc w:val="center"/>
        </w:trPr>
        <w:tc>
          <w:tcPr>
            <w:tcW w:w="89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9,572</w:t>
            </w:r>
          </w:p>
        </w:tc>
        <w:tc>
          <w:tcPr>
            <w:tcW w:w="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(3,369)</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6,203</w:t>
            </w:r>
          </w:p>
        </w:tc>
        <w:tc>
          <w:tcPr>
            <w:tcW w:w="3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Arial"/>
                <w:sz w:val="18"/>
                <w:szCs w:val="18"/>
              </w:rPr>
            </w:pPr>
            <w:r w:rsidRPr="00EC06E7">
              <w:rPr>
                <w:rFonts w:cs="Arial"/>
                <w:sz w:val="18"/>
                <w:szCs w:val="18"/>
              </w:rPr>
              <w:t>Neighbourhoods, Environment and Asset Management</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9,</w:t>
            </w:r>
            <w:r>
              <w:rPr>
                <w:rFonts w:cs="Courier New"/>
                <w:sz w:val="18"/>
                <w:szCs w:val="18"/>
              </w:rPr>
              <w:t>012</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w:t>
            </w:r>
            <w:r>
              <w:rPr>
                <w:rFonts w:cs="Courier New"/>
                <w:sz w:val="18"/>
                <w:szCs w:val="18"/>
              </w:rPr>
              <w:t>2</w:t>
            </w:r>
            <w:r w:rsidRPr="00EC06E7">
              <w:rPr>
                <w:rFonts w:cs="Courier New"/>
                <w:sz w:val="18"/>
                <w:szCs w:val="18"/>
              </w:rPr>
              <w:t>,</w:t>
            </w:r>
            <w:r>
              <w:rPr>
                <w:rFonts w:cs="Courier New"/>
                <w:sz w:val="18"/>
                <w:szCs w:val="18"/>
              </w:rPr>
              <w:t>851</w:t>
            </w:r>
            <w:r w:rsidRPr="00EC06E7">
              <w:rPr>
                <w:rFonts w:cs="Courier New"/>
                <w:sz w:val="18"/>
                <w:szCs w:val="18"/>
              </w:rPr>
              <w:t>)</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6,</w:t>
            </w:r>
            <w:r>
              <w:rPr>
                <w:rFonts w:cs="Courier New"/>
                <w:sz w:val="18"/>
                <w:szCs w:val="18"/>
              </w:rPr>
              <w:t>161</w:t>
            </w:r>
          </w:p>
        </w:tc>
      </w:tr>
      <w:tr w:rsidR="00201C5D" w:rsidRPr="00EC06E7" w:rsidTr="00201C5D">
        <w:trPr>
          <w:trHeight w:val="519"/>
          <w:jc w:val="center"/>
        </w:trPr>
        <w:tc>
          <w:tcPr>
            <w:tcW w:w="89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4,250</w:t>
            </w:r>
          </w:p>
        </w:tc>
        <w:tc>
          <w:tcPr>
            <w:tcW w:w="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(2,191)</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2,059</w:t>
            </w:r>
          </w:p>
        </w:tc>
        <w:tc>
          <w:tcPr>
            <w:tcW w:w="3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Arial"/>
                <w:sz w:val="18"/>
                <w:szCs w:val="18"/>
              </w:rPr>
            </w:pPr>
            <w:r w:rsidRPr="00EC06E7">
              <w:rPr>
                <w:rFonts w:cs="Arial"/>
                <w:sz w:val="18"/>
                <w:szCs w:val="18"/>
              </w:rPr>
              <w:t>Development, Enterprise and Communities</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Pr>
                <w:rFonts w:cs="Courier New"/>
                <w:sz w:val="18"/>
                <w:szCs w:val="18"/>
              </w:rPr>
              <w:t>5</w:t>
            </w:r>
            <w:r w:rsidRPr="00EC06E7">
              <w:rPr>
                <w:rFonts w:cs="Courier New"/>
                <w:sz w:val="18"/>
                <w:szCs w:val="18"/>
              </w:rPr>
              <w:t>,2</w:t>
            </w:r>
            <w:r>
              <w:rPr>
                <w:rFonts w:cs="Courier New"/>
                <w:sz w:val="18"/>
                <w:szCs w:val="18"/>
              </w:rPr>
              <w:t>66</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w:t>
            </w:r>
            <w:r>
              <w:rPr>
                <w:rFonts w:cs="Courier New"/>
                <w:sz w:val="18"/>
                <w:szCs w:val="18"/>
              </w:rPr>
              <w:t>535</w:t>
            </w:r>
            <w:r w:rsidRPr="00EC06E7">
              <w:rPr>
                <w:rFonts w:cs="Courier New"/>
                <w:sz w:val="18"/>
                <w:szCs w:val="18"/>
              </w:rPr>
              <w:t>)</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w:t>
            </w:r>
            <w:r>
              <w:rPr>
                <w:rFonts w:cs="Courier New"/>
                <w:sz w:val="18"/>
                <w:szCs w:val="18"/>
              </w:rPr>
              <w:t>731</w:t>
            </w:r>
          </w:p>
        </w:tc>
      </w:tr>
      <w:tr w:rsidR="00201C5D" w:rsidRPr="00EC06E7" w:rsidTr="00201C5D">
        <w:trPr>
          <w:trHeight w:val="711"/>
          <w:jc w:val="center"/>
        </w:trPr>
        <w:tc>
          <w:tcPr>
            <w:tcW w:w="89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26,185</w:t>
            </w:r>
          </w:p>
        </w:tc>
        <w:tc>
          <w:tcPr>
            <w:tcW w:w="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(23,382)</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2,803</w:t>
            </w:r>
          </w:p>
        </w:tc>
        <w:tc>
          <w:tcPr>
            <w:tcW w:w="3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Arial"/>
                <w:sz w:val="18"/>
                <w:szCs w:val="18"/>
              </w:rPr>
            </w:pPr>
            <w:r w:rsidRPr="00EC06E7">
              <w:rPr>
                <w:rFonts w:cs="Arial"/>
                <w:sz w:val="18"/>
                <w:szCs w:val="18"/>
              </w:rPr>
              <w:t>Governance and Business Transformation</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Pr>
                <w:rFonts w:cs="Courier New"/>
                <w:sz w:val="18"/>
                <w:szCs w:val="18"/>
              </w:rPr>
              <w:t>25</w:t>
            </w:r>
            <w:r w:rsidRPr="00EC06E7">
              <w:rPr>
                <w:rFonts w:cs="Courier New"/>
                <w:sz w:val="18"/>
                <w:szCs w:val="18"/>
              </w:rPr>
              <w:t>,</w:t>
            </w:r>
            <w:r>
              <w:rPr>
                <w:rFonts w:cs="Courier New"/>
                <w:sz w:val="18"/>
                <w:szCs w:val="18"/>
              </w:rPr>
              <w:t>050</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sidRPr="00EC06E7">
              <w:rPr>
                <w:rFonts w:cs="Courier New"/>
                <w:sz w:val="18"/>
                <w:szCs w:val="18"/>
              </w:rPr>
              <w:t>(2</w:t>
            </w:r>
            <w:r>
              <w:rPr>
                <w:rFonts w:cs="Courier New"/>
                <w:sz w:val="18"/>
                <w:szCs w:val="18"/>
              </w:rPr>
              <w:t>1</w:t>
            </w:r>
            <w:r w:rsidRPr="00EC06E7">
              <w:rPr>
                <w:rFonts w:cs="Courier New"/>
                <w:sz w:val="18"/>
                <w:szCs w:val="18"/>
              </w:rPr>
              <w:t>,</w:t>
            </w:r>
            <w:r>
              <w:rPr>
                <w:rFonts w:cs="Courier New"/>
                <w:sz w:val="18"/>
                <w:szCs w:val="18"/>
              </w:rPr>
              <w:t>996</w:t>
            </w:r>
            <w:r w:rsidRPr="00EC06E7">
              <w:rPr>
                <w:rFonts w:cs="Courier New"/>
                <w:sz w:val="18"/>
                <w:szCs w:val="18"/>
              </w:rPr>
              <w:t>)</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201C5D" w:rsidRPr="00EC06E7" w:rsidRDefault="00201C5D" w:rsidP="00081531">
            <w:pPr>
              <w:jc w:val="right"/>
              <w:rPr>
                <w:rFonts w:cs="Courier New"/>
                <w:sz w:val="18"/>
                <w:szCs w:val="18"/>
              </w:rPr>
            </w:pPr>
            <w:r>
              <w:rPr>
                <w:rFonts w:cs="Courier New"/>
                <w:sz w:val="18"/>
                <w:szCs w:val="18"/>
              </w:rPr>
              <w:t>3</w:t>
            </w:r>
            <w:r w:rsidRPr="00EC06E7">
              <w:rPr>
                <w:rFonts w:cs="Courier New"/>
                <w:sz w:val="18"/>
                <w:szCs w:val="18"/>
              </w:rPr>
              <w:t>,</w:t>
            </w:r>
            <w:r>
              <w:rPr>
                <w:rFonts w:cs="Courier New"/>
                <w:sz w:val="18"/>
                <w:szCs w:val="18"/>
              </w:rPr>
              <w:t>054</w:t>
            </w:r>
          </w:p>
        </w:tc>
      </w:tr>
      <w:tr w:rsidR="00201C5D" w:rsidRPr="00EC06E7" w:rsidTr="00201C5D">
        <w:trPr>
          <w:trHeight w:val="711"/>
          <w:jc w:val="center"/>
        </w:trPr>
        <w:tc>
          <w:tcPr>
            <w:tcW w:w="89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Pr>
                <w:rFonts w:cs="Courier New"/>
                <w:sz w:val="18"/>
                <w:szCs w:val="18"/>
              </w:rPr>
              <w:t>0</w:t>
            </w:r>
          </w:p>
        </w:tc>
        <w:tc>
          <w:tcPr>
            <w:tcW w:w="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Pr>
                <w:rFonts w:cs="Courier New"/>
                <w:sz w:val="18"/>
                <w:szCs w:val="18"/>
              </w:rPr>
              <w:t>0</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Pr>
                <w:rFonts w:cs="Courier New"/>
                <w:sz w:val="18"/>
                <w:szCs w:val="18"/>
              </w:rPr>
              <w:t>0</w:t>
            </w:r>
          </w:p>
        </w:tc>
        <w:tc>
          <w:tcPr>
            <w:tcW w:w="3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Arial"/>
                <w:sz w:val="18"/>
                <w:szCs w:val="18"/>
              </w:rPr>
            </w:pPr>
            <w:r>
              <w:rPr>
                <w:rFonts w:cs="Arial"/>
                <w:sz w:val="18"/>
                <w:szCs w:val="18"/>
              </w:rPr>
              <w:t>Budgets not in directorates</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Pr>
                <w:rFonts w:cs="Courier New"/>
                <w:sz w:val="18"/>
                <w:szCs w:val="18"/>
              </w:rPr>
              <w:t>660</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01C5D" w:rsidRPr="00EC06E7" w:rsidRDefault="00201C5D" w:rsidP="00081531">
            <w:pPr>
              <w:jc w:val="right"/>
              <w:rPr>
                <w:rFonts w:cs="Courier New"/>
                <w:sz w:val="18"/>
                <w:szCs w:val="18"/>
              </w:rPr>
            </w:pPr>
            <w:r>
              <w:rPr>
                <w:rFonts w:cs="Courier New"/>
                <w:sz w:val="18"/>
                <w:szCs w:val="18"/>
              </w:rPr>
              <w:t>0</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201C5D" w:rsidRPr="00EC06E7" w:rsidRDefault="00201C5D" w:rsidP="00081531">
            <w:pPr>
              <w:jc w:val="right"/>
              <w:rPr>
                <w:rFonts w:cs="Courier New"/>
                <w:sz w:val="18"/>
                <w:szCs w:val="18"/>
              </w:rPr>
            </w:pPr>
            <w:r>
              <w:rPr>
                <w:rFonts w:cs="Courier New"/>
                <w:sz w:val="18"/>
                <w:szCs w:val="18"/>
              </w:rPr>
              <w:t>660</w:t>
            </w:r>
          </w:p>
        </w:tc>
      </w:tr>
      <w:tr w:rsidR="00201C5D" w:rsidRPr="00EC06E7" w:rsidTr="00201C5D">
        <w:trPr>
          <w:trHeight w:val="432"/>
          <w:jc w:val="center"/>
        </w:trPr>
        <w:tc>
          <w:tcPr>
            <w:tcW w:w="898" w:type="dxa"/>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42,515</w:t>
            </w:r>
          </w:p>
        </w:tc>
        <w:tc>
          <w:tcPr>
            <w:tcW w:w="898"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(29,256)</w:t>
            </w: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13,259</w:t>
            </w:r>
          </w:p>
        </w:tc>
        <w:tc>
          <w:tcPr>
            <w:tcW w:w="369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Arial"/>
                <w:b/>
                <w:bCs/>
                <w:sz w:val="18"/>
                <w:szCs w:val="18"/>
              </w:rPr>
            </w:pPr>
            <w:r w:rsidRPr="00EC06E7">
              <w:rPr>
                <w:rFonts w:cs="Arial"/>
                <w:b/>
                <w:bCs/>
                <w:sz w:val="18"/>
                <w:szCs w:val="18"/>
              </w:rPr>
              <w:t>Cost of Services</w:t>
            </w: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Pr>
                <w:rFonts w:cs="Courier New"/>
                <w:b/>
                <w:sz w:val="18"/>
                <w:szCs w:val="18"/>
              </w:rPr>
              <w:t>43</w:t>
            </w:r>
            <w:r w:rsidRPr="00EC06E7">
              <w:rPr>
                <w:rFonts w:cs="Courier New"/>
                <w:b/>
                <w:sz w:val="18"/>
                <w:szCs w:val="18"/>
              </w:rPr>
              <w:t>,</w:t>
            </w:r>
            <w:r>
              <w:rPr>
                <w:rFonts w:cs="Courier New"/>
                <w:b/>
                <w:sz w:val="18"/>
                <w:szCs w:val="18"/>
              </w:rPr>
              <w:t>178</w:t>
            </w: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w:t>
            </w:r>
            <w:r>
              <w:rPr>
                <w:rFonts w:cs="Courier New"/>
                <w:b/>
                <w:sz w:val="18"/>
                <w:szCs w:val="18"/>
              </w:rPr>
              <w:t>27</w:t>
            </w:r>
            <w:r w:rsidRPr="00EC06E7">
              <w:rPr>
                <w:rFonts w:cs="Courier New"/>
                <w:b/>
                <w:sz w:val="18"/>
                <w:szCs w:val="18"/>
              </w:rPr>
              <w:t>,</w:t>
            </w:r>
            <w:r>
              <w:rPr>
                <w:rFonts w:cs="Courier New"/>
                <w:b/>
                <w:sz w:val="18"/>
                <w:szCs w:val="18"/>
              </w:rPr>
              <w:t>582</w:t>
            </w:r>
            <w:r w:rsidRPr="00EC06E7">
              <w:rPr>
                <w:rFonts w:cs="Courier New"/>
                <w:b/>
                <w:sz w:val="18"/>
                <w:szCs w:val="18"/>
              </w:rPr>
              <w:t>)</w:t>
            </w:r>
          </w:p>
        </w:tc>
        <w:tc>
          <w:tcPr>
            <w:tcW w:w="897" w:type="dxa"/>
            <w:tcBorders>
              <w:top w:val="single" w:sz="4" w:space="0" w:color="auto"/>
              <w:left w:val="single" w:sz="4" w:space="0" w:color="BFBFBF" w:themeColor="background1" w:themeShade="BF"/>
              <w:bottom w:val="single" w:sz="4" w:space="0" w:color="auto"/>
              <w:right w:val="single" w:sz="4" w:space="0" w:color="auto"/>
            </w:tcBorders>
            <w:shd w:val="clear" w:color="auto" w:fill="F2F2F2" w:themeFill="background1" w:themeFillShade="F2"/>
            <w:vAlign w:val="center"/>
          </w:tcPr>
          <w:p w:rsidR="00201C5D" w:rsidRPr="00EC06E7" w:rsidRDefault="00201C5D" w:rsidP="00081531">
            <w:pPr>
              <w:jc w:val="right"/>
              <w:rPr>
                <w:rFonts w:cs="Courier New"/>
                <w:b/>
                <w:sz w:val="18"/>
                <w:szCs w:val="18"/>
              </w:rPr>
            </w:pPr>
            <w:r>
              <w:rPr>
                <w:rFonts w:cs="Courier New"/>
                <w:b/>
                <w:sz w:val="18"/>
                <w:szCs w:val="18"/>
              </w:rPr>
              <w:t>15</w:t>
            </w:r>
            <w:r w:rsidRPr="00EC06E7">
              <w:rPr>
                <w:rFonts w:cs="Courier New"/>
                <w:b/>
                <w:sz w:val="18"/>
                <w:szCs w:val="18"/>
              </w:rPr>
              <w:t>,</w:t>
            </w:r>
            <w:r>
              <w:rPr>
                <w:rFonts w:cs="Courier New"/>
                <w:b/>
                <w:sz w:val="18"/>
                <w:szCs w:val="18"/>
              </w:rPr>
              <w:t>596</w:t>
            </w:r>
          </w:p>
        </w:tc>
      </w:tr>
      <w:tr w:rsidR="00201C5D" w:rsidRPr="00EC06E7" w:rsidTr="00201C5D">
        <w:trPr>
          <w:trHeight w:val="567"/>
          <w:jc w:val="center"/>
        </w:trPr>
        <w:tc>
          <w:tcPr>
            <w:tcW w:w="898" w:type="dxa"/>
            <w:tcBorders>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320</w:t>
            </w:r>
          </w:p>
        </w:tc>
        <w:tc>
          <w:tcPr>
            <w:tcW w:w="898"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(38)</w:t>
            </w:r>
          </w:p>
        </w:tc>
        <w:tc>
          <w:tcPr>
            <w:tcW w:w="89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282</w:t>
            </w:r>
          </w:p>
        </w:tc>
        <w:tc>
          <w:tcPr>
            <w:tcW w:w="369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Other operating expenditure</w:t>
            </w:r>
          </w:p>
        </w:tc>
        <w:tc>
          <w:tcPr>
            <w:tcW w:w="89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w:t>
            </w:r>
            <w:r>
              <w:rPr>
                <w:rFonts w:cs="Courier New"/>
                <w:sz w:val="18"/>
                <w:szCs w:val="18"/>
              </w:rPr>
              <w:t>98</w:t>
            </w:r>
          </w:p>
        </w:tc>
        <w:tc>
          <w:tcPr>
            <w:tcW w:w="89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0</w:t>
            </w:r>
          </w:p>
        </w:tc>
        <w:tc>
          <w:tcPr>
            <w:tcW w:w="897" w:type="dxa"/>
            <w:tcBorders>
              <w:left w:val="single" w:sz="4" w:space="0" w:color="BFBFBF" w:themeColor="background1" w:themeShade="BF"/>
              <w:bottom w:val="single" w:sz="4" w:space="0" w:color="BFBFBF" w:themeColor="background1" w:themeShade="BF"/>
              <w:right w:val="single" w:sz="4" w:space="0" w:color="auto"/>
            </w:tcBorders>
            <w:vAlign w:val="center"/>
          </w:tcPr>
          <w:p w:rsidR="00201C5D" w:rsidRPr="00EC06E7" w:rsidRDefault="00201C5D" w:rsidP="00081531">
            <w:pPr>
              <w:jc w:val="right"/>
              <w:rPr>
                <w:rFonts w:cs="Courier New"/>
                <w:sz w:val="18"/>
                <w:szCs w:val="18"/>
              </w:rPr>
            </w:pPr>
            <w:r>
              <w:rPr>
                <w:rFonts w:cs="Courier New"/>
                <w:sz w:val="18"/>
                <w:szCs w:val="18"/>
              </w:rPr>
              <w:t>398</w:t>
            </w:r>
          </w:p>
        </w:tc>
      </w:tr>
      <w:tr w:rsidR="00201C5D" w:rsidRPr="00EC06E7" w:rsidTr="00201C5D">
        <w:trPr>
          <w:trHeight w:val="567"/>
          <w:jc w:val="center"/>
        </w:trPr>
        <w:tc>
          <w:tcPr>
            <w:tcW w:w="89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4,001</w:t>
            </w:r>
          </w:p>
        </w:tc>
        <w:tc>
          <w:tcPr>
            <w:tcW w:w="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(3,612)</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389</w:t>
            </w:r>
          </w:p>
        </w:tc>
        <w:tc>
          <w:tcPr>
            <w:tcW w:w="3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Financing and investment income and expenditure</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3</w:t>
            </w:r>
            <w:r w:rsidRPr="00EC06E7">
              <w:rPr>
                <w:rFonts w:cs="Courier New"/>
                <w:sz w:val="18"/>
                <w:szCs w:val="18"/>
              </w:rPr>
              <w:t>,</w:t>
            </w:r>
            <w:r>
              <w:rPr>
                <w:rFonts w:cs="Courier New"/>
                <w:sz w:val="18"/>
                <w:szCs w:val="18"/>
              </w:rPr>
              <w:t>302</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w:t>
            </w:r>
            <w:r>
              <w:rPr>
                <w:rFonts w:cs="Courier New"/>
                <w:sz w:val="18"/>
                <w:szCs w:val="18"/>
              </w:rPr>
              <w:t>518</w:t>
            </w:r>
            <w:r w:rsidRPr="00EC06E7">
              <w:rPr>
                <w:rFonts w:cs="Courier New"/>
                <w:sz w:val="18"/>
                <w:szCs w:val="18"/>
              </w:rPr>
              <w:t>)</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201C5D" w:rsidRPr="00EC06E7" w:rsidRDefault="00201C5D" w:rsidP="00081531">
            <w:pPr>
              <w:jc w:val="right"/>
              <w:rPr>
                <w:rFonts w:cs="Courier New"/>
                <w:sz w:val="18"/>
                <w:szCs w:val="18"/>
              </w:rPr>
            </w:pPr>
            <w:r>
              <w:rPr>
                <w:rFonts w:cs="Courier New"/>
                <w:sz w:val="18"/>
                <w:szCs w:val="18"/>
              </w:rPr>
              <w:t>(216)</w:t>
            </w:r>
          </w:p>
        </w:tc>
      </w:tr>
      <w:tr w:rsidR="00201C5D" w:rsidRPr="00EC06E7" w:rsidTr="00201C5D">
        <w:trPr>
          <w:trHeight w:val="567"/>
          <w:jc w:val="center"/>
        </w:trPr>
        <w:tc>
          <w:tcPr>
            <w:tcW w:w="898" w:type="dxa"/>
            <w:tcBorders>
              <w:top w:val="single" w:sz="4" w:space="0" w:color="BFBFBF" w:themeColor="background1" w:themeShade="BF"/>
              <w:left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12,078</w:t>
            </w:r>
          </w:p>
        </w:tc>
        <w:tc>
          <w:tcPr>
            <w:tcW w:w="898"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(27,297)</w:t>
            </w:r>
          </w:p>
        </w:tc>
        <w:tc>
          <w:tcPr>
            <w:tcW w:w="897"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(15,219)</w:t>
            </w:r>
          </w:p>
        </w:tc>
        <w:tc>
          <w:tcPr>
            <w:tcW w:w="36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Taxation and non-specific grant income</w:t>
            </w:r>
          </w:p>
        </w:tc>
        <w:tc>
          <w:tcPr>
            <w:tcW w:w="897"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9</w:t>
            </w:r>
            <w:r w:rsidRPr="00EC06E7">
              <w:rPr>
                <w:rFonts w:cs="Courier New"/>
                <w:sz w:val="18"/>
                <w:szCs w:val="18"/>
              </w:rPr>
              <w:t>,</w:t>
            </w:r>
            <w:r>
              <w:rPr>
                <w:rFonts w:cs="Courier New"/>
                <w:sz w:val="18"/>
                <w:szCs w:val="18"/>
              </w:rPr>
              <w:t>768</w:t>
            </w:r>
          </w:p>
        </w:tc>
        <w:tc>
          <w:tcPr>
            <w:tcW w:w="897"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w:t>
            </w:r>
            <w:r>
              <w:rPr>
                <w:rFonts w:cs="Courier New"/>
                <w:sz w:val="18"/>
                <w:szCs w:val="18"/>
              </w:rPr>
              <w:t>26</w:t>
            </w:r>
            <w:r w:rsidRPr="00EC06E7">
              <w:rPr>
                <w:rFonts w:cs="Courier New"/>
                <w:sz w:val="18"/>
                <w:szCs w:val="18"/>
              </w:rPr>
              <w:t>,</w:t>
            </w:r>
            <w:r>
              <w:rPr>
                <w:rFonts w:cs="Courier New"/>
                <w:sz w:val="18"/>
                <w:szCs w:val="18"/>
              </w:rPr>
              <w:t>867</w:t>
            </w:r>
            <w:r w:rsidRPr="00EC06E7">
              <w:rPr>
                <w:rFonts w:cs="Courier New"/>
                <w:sz w:val="18"/>
                <w:szCs w:val="18"/>
              </w:rPr>
              <w:t>)</w:t>
            </w:r>
          </w:p>
        </w:tc>
        <w:tc>
          <w:tcPr>
            <w:tcW w:w="897" w:type="dxa"/>
            <w:tcBorders>
              <w:top w:val="single" w:sz="4" w:space="0" w:color="BFBFBF" w:themeColor="background1" w:themeShade="BF"/>
              <w:left w:val="single" w:sz="4" w:space="0" w:color="BFBFBF" w:themeColor="background1" w:themeShade="BF"/>
              <w:right w:val="single" w:sz="4" w:space="0" w:color="auto"/>
            </w:tcBorders>
            <w:vAlign w:val="center"/>
          </w:tcPr>
          <w:p w:rsidR="00201C5D" w:rsidRPr="00EC06E7" w:rsidRDefault="00201C5D" w:rsidP="00081531">
            <w:pPr>
              <w:jc w:val="right"/>
              <w:rPr>
                <w:rFonts w:cs="Courier New"/>
                <w:sz w:val="18"/>
                <w:szCs w:val="18"/>
              </w:rPr>
            </w:pPr>
            <w:r w:rsidRPr="00EC06E7">
              <w:rPr>
                <w:rFonts w:cs="Courier New"/>
                <w:sz w:val="18"/>
                <w:szCs w:val="18"/>
              </w:rPr>
              <w:t>(</w:t>
            </w:r>
            <w:r>
              <w:rPr>
                <w:rFonts w:cs="Courier New"/>
                <w:sz w:val="18"/>
                <w:szCs w:val="18"/>
              </w:rPr>
              <w:t>17</w:t>
            </w:r>
            <w:r w:rsidRPr="00EC06E7">
              <w:rPr>
                <w:rFonts w:cs="Courier New"/>
                <w:sz w:val="18"/>
                <w:szCs w:val="18"/>
              </w:rPr>
              <w:t>,</w:t>
            </w:r>
            <w:r>
              <w:rPr>
                <w:rFonts w:cs="Courier New"/>
                <w:sz w:val="18"/>
                <w:szCs w:val="18"/>
              </w:rPr>
              <w:t>099</w:t>
            </w:r>
            <w:r w:rsidRPr="00EC06E7">
              <w:rPr>
                <w:rFonts w:cs="Courier New"/>
                <w:sz w:val="18"/>
                <w:szCs w:val="18"/>
              </w:rPr>
              <w:t>)</w:t>
            </w:r>
          </w:p>
        </w:tc>
      </w:tr>
      <w:tr w:rsidR="00201C5D" w:rsidRPr="00EC06E7" w:rsidTr="00201C5D">
        <w:trPr>
          <w:trHeight w:val="567"/>
          <w:jc w:val="center"/>
        </w:trPr>
        <w:tc>
          <w:tcPr>
            <w:tcW w:w="898" w:type="dxa"/>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58,914</w:t>
            </w:r>
          </w:p>
        </w:tc>
        <w:tc>
          <w:tcPr>
            <w:tcW w:w="898"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(60,203)</w:t>
            </w: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(1,289)</w:t>
            </w:r>
          </w:p>
        </w:tc>
        <w:tc>
          <w:tcPr>
            <w:tcW w:w="369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18"/>
                <w:szCs w:val="18"/>
              </w:rPr>
            </w:pPr>
            <w:r w:rsidRPr="00EC06E7">
              <w:rPr>
                <w:rFonts w:cs="Courier New"/>
                <w:b/>
                <w:sz w:val="18"/>
                <w:szCs w:val="18"/>
              </w:rPr>
              <w:t>(Surplus) / deficit on provision of services</w:t>
            </w: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Pr>
                <w:rFonts w:cs="Courier New"/>
                <w:b/>
                <w:sz w:val="18"/>
                <w:szCs w:val="18"/>
              </w:rPr>
              <w:t>56,348</w:t>
            </w: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w:t>
            </w:r>
            <w:r>
              <w:rPr>
                <w:rFonts w:cs="Courier New"/>
                <w:b/>
                <w:sz w:val="18"/>
                <w:szCs w:val="18"/>
              </w:rPr>
              <w:t>57</w:t>
            </w:r>
            <w:r w:rsidRPr="00EC06E7">
              <w:rPr>
                <w:rFonts w:cs="Courier New"/>
                <w:b/>
                <w:sz w:val="18"/>
                <w:szCs w:val="18"/>
              </w:rPr>
              <w:t>,</w:t>
            </w:r>
            <w:r>
              <w:rPr>
                <w:rFonts w:cs="Courier New"/>
                <w:b/>
                <w:sz w:val="18"/>
                <w:szCs w:val="18"/>
              </w:rPr>
              <w:t>669</w:t>
            </w:r>
            <w:r w:rsidRPr="00EC06E7">
              <w:rPr>
                <w:rFonts w:cs="Courier New"/>
                <w:b/>
                <w:sz w:val="18"/>
                <w:szCs w:val="18"/>
              </w:rPr>
              <w:t>)</w:t>
            </w:r>
          </w:p>
        </w:tc>
        <w:tc>
          <w:tcPr>
            <w:tcW w:w="897" w:type="dxa"/>
            <w:tcBorders>
              <w:top w:val="single" w:sz="4" w:space="0" w:color="auto"/>
              <w:left w:val="single" w:sz="4" w:space="0" w:color="BFBFBF" w:themeColor="background1" w:themeShade="BF"/>
              <w:bottom w:val="single" w:sz="4" w:space="0" w:color="auto"/>
              <w:right w:val="single" w:sz="4" w:space="0" w:color="auto"/>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(1,</w:t>
            </w:r>
            <w:r>
              <w:rPr>
                <w:rFonts w:cs="Courier New"/>
                <w:b/>
                <w:sz w:val="18"/>
                <w:szCs w:val="18"/>
              </w:rPr>
              <w:t>321</w:t>
            </w:r>
            <w:r w:rsidRPr="00EC06E7">
              <w:rPr>
                <w:rFonts w:cs="Courier New"/>
                <w:b/>
                <w:sz w:val="18"/>
                <w:szCs w:val="18"/>
              </w:rPr>
              <w:t>)</w:t>
            </w:r>
          </w:p>
        </w:tc>
      </w:tr>
      <w:tr w:rsidR="00201C5D" w:rsidRPr="00EC06E7" w:rsidTr="00201C5D">
        <w:trPr>
          <w:trHeight w:val="567"/>
          <w:jc w:val="center"/>
        </w:trPr>
        <w:tc>
          <w:tcPr>
            <w:tcW w:w="898" w:type="dxa"/>
            <w:tcBorders>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898"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89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(107)</w:t>
            </w:r>
          </w:p>
        </w:tc>
        <w:tc>
          <w:tcPr>
            <w:tcW w:w="369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(Surplus) / deficit on revaluation of Property, Plant and Equipment assets</w:t>
            </w:r>
          </w:p>
        </w:tc>
        <w:tc>
          <w:tcPr>
            <w:tcW w:w="89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89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897" w:type="dxa"/>
            <w:tcBorders>
              <w:left w:val="single" w:sz="4" w:space="0" w:color="BFBFBF" w:themeColor="background1" w:themeShade="BF"/>
              <w:bottom w:val="single" w:sz="4" w:space="0" w:color="BFBFBF" w:themeColor="background1" w:themeShade="BF"/>
              <w:right w:val="single" w:sz="4" w:space="0" w:color="auto"/>
            </w:tcBorders>
            <w:vAlign w:val="center"/>
          </w:tcPr>
          <w:p w:rsidR="00201C5D" w:rsidRPr="00EC06E7" w:rsidRDefault="00201C5D" w:rsidP="00081531">
            <w:pPr>
              <w:jc w:val="right"/>
              <w:rPr>
                <w:rFonts w:cs="Courier New"/>
                <w:sz w:val="18"/>
                <w:szCs w:val="18"/>
              </w:rPr>
            </w:pPr>
            <w:r w:rsidRPr="00EC06E7">
              <w:rPr>
                <w:rFonts w:cs="Courier New"/>
                <w:sz w:val="18"/>
                <w:szCs w:val="18"/>
              </w:rPr>
              <w:t>(1</w:t>
            </w:r>
            <w:r>
              <w:rPr>
                <w:rFonts w:cs="Courier New"/>
                <w:sz w:val="18"/>
                <w:szCs w:val="18"/>
              </w:rPr>
              <w:t>28</w:t>
            </w:r>
            <w:r w:rsidRPr="00EC06E7">
              <w:rPr>
                <w:rFonts w:cs="Courier New"/>
                <w:sz w:val="18"/>
                <w:szCs w:val="18"/>
              </w:rPr>
              <w:t>)</w:t>
            </w:r>
          </w:p>
        </w:tc>
      </w:tr>
      <w:tr w:rsidR="00201C5D" w:rsidRPr="00EC06E7" w:rsidTr="00201C5D">
        <w:trPr>
          <w:trHeight w:val="567"/>
          <w:jc w:val="center"/>
        </w:trPr>
        <w:tc>
          <w:tcPr>
            <w:tcW w:w="898"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89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8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4,982</w:t>
            </w:r>
          </w:p>
        </w:tc>
        <w:tc>
          <w:tcPr>
            <w:tcW w:w="369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Re-measurement of  the net defined benefit liability</w:t>
            </w:r>
          </w:p>
        </w:tc>
        <w:tc>
          <w:tcPr>
            <w:tcW w:w="8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8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897"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201C5D" w:rsidRPr="00EC06E7" w:rsidRDefault="00201C5D" w:rsidP="00081531">
            <w:pPr>
              <w:jc w:val="right"/>
              <w:rPr>
                <w:rFonts w:cs="Courier New"/>
                <w:sz w:val="18"/>
                <w:szCs w:val="18"/>
              </w:rPr>
            </w:pPr>
            <w:r>
              <w:rPr>
                <w:rFonts w:cs="Courier New"/>
                <w:sz w:val="18"/>
                <w:szCs w:val="18"/>
              </w:rPr>
              <w:t>(5,077)</w:t>
            </w:r>
          </w:p>
        </w:tc>
      </w:tr>
      <w:tr w:rsidR="00201C5D" w:rsidRPr="00EC06E7" w:rsidTr="00201C5D">
        <w:trPr>
          <w:trHeight w:val="567"/>
          <w:jc w:val="center"/>
        </w:trPr>
        <w:tc>
          <w:tcPr>
            <w:tcW w:w="898" w:type="dxa"/>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p>
        </w:tc>
        <w:tc>
          <w:tcPr>
            <w:tcW w:w="898"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4,875</w:t>
            </w:r>
          </w:p>
        </w:tc>
        <w:tc>
          <w:tcPr>
            <w:tcW w:w="369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18"/>
                <w:szCs w:val="18"/>
              </w:rPr>
            </w:pPr>
            <w:r w:rsidRPr="00EC06E7">
              <w:rPr>
                <w:rFonts w:cs="Courier New"/>
                <w:b/>
                <w:sz w:val="18"/>
                <w:szCs w:val="18"/>
              </w:rPr>
              <w:t>Other Comprehensive (Income) and Expenditure</w:t>
            </w: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p>
        </w:tc>
        <w:tc>
          <w:tcPr>
            <w:tcW w:w="897" w:type="dxa"/>
            <w:tcBorders>
              <w:top w:val="single" w:sz="4" w:space="0" w:color="auto"/>
              <w:left w:val="single" w:sz="4" w:space="0" w:color="BFBFBF" w:themeColor="background1" w:themeShade="BF"/>
              <w:bottom w:val="single" w:sz="4" w:space="0" w:color="auto"/>
              <w:right w:val="single" w:sz="4" w:space="0" w:color="auto"/>
            </w:tcBorders>
            <w:shd w:val="clear" w:color="auto" w:fill="F2F2F2" w:themeFill="background1" w:themeFillShade="F2"/>
            <w:vAlign w:val="center"/>
          </w:tcPr>
          <w:p w:rsidR="00201C5D" w:rsidRPr="00EC06E7" w:rsidRDefault="00201C5D" w:rsidP="00081531">
            <w:pPr>
              <w:jc w:val="right"/>
              <w:rPr>
                <w:rFonts w:cs="Courier New"/>
                <w:b/>
                <w:sz w:val="18"/>
                <w:szCs w:val="18"/>
              </w:rPr>
            </w:pPr>
            <w:r>
              <w:rPr>
                <w:rFonts w:cs="Courier New"/>
                <w:b/>
                <w:sz w:val="18"/>
                <w:szCs w:val="18"/>
              </w:rPr>
              <w:t>(5</w:t>
            </w:r>
            <w:r w:rsidRPr="00EC06E7">
              <w:rPr>
                <w:rFonts w:cs="Courier New"/>
                <w:b/>
                <w:sz w:val="18"/>
                <w:szCs w:val="18"/>
              </w:rPr>
              <w:t>,</w:t>
            </w:r>
            <w:r>
              <w:rPr>
                <w:rFonts w:cs="Courier New"/>
                <w:b/>
                <w:sz w:val="18"/>
                <w:szCs w:val="18"/>
              </w:rPr>
              <w:t>205)</w:t>
            </w:r>
          </w:p>
        </w:tc>
      </w:tr>
      <w:tr w:rsidR="00201C5D" w:rsidRPr="00EC06E7" w:rsidTr="00201C5D">
        <w:trPr>
          <w:trHeight w:val="567"/>
          <w:jc w:val="center"/>
        </w:trPr>
        <w:tc>
          <w:tcPr>
            <w:tcW w:w="898"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sz w:val="18"/>
                <w:szCs w:val="18"/>
              </w:rPr>
            </w:pPr>
          </w:p>
        </w:tc>
        <w:tc>
          <w:tcPr>
            <w:tcW w:w="898"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sz w:val="18"/>
                <w:szCs w:val="18"/>
              </w:rPr>
            </w:pP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b/>
                <w:sz w:val="18"/>
                <w:szCs w:val="18"/>
              </w:rPr>
            </w:pPr>
            <w:r w:rsidRPr="00EC06E7">
              <w:rPr>
                <w:rFonts w:cs="Courier New"/>
                <w:b/>
                <w:sz w:val="18"/>
                <w:szCs w:val="18"/>
              </w:rPr>
              <w:t>3,586</w:t>
            </w:r>
          </w:p>
        </w:tc>
        <w:tc>
          <w:tcPr>
            <w:tcW w:w="369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rPr>
                <w:rFonts w:cs="Courier New"/>
                <w:b/>
                <w:sz w:val="18"/>
                <w:szCs w:val="18"/>
              </w:rPr>
            </w:pPr>
            <w:r w:rsidRPr="00EC06E7">
              <w:rPr>
                <w:rFonts w:cs="Courier New"/>
                <w:b/>
                <w:sz w:val="18"/>
                <w:szCs w:val="18"/>
              </w:rPr>
              <w:t>Total Comprehensive (Income) and Expenditure</w:t>
            </w: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sz w:val="18"/>
                <w:szCs w:val="18"/>
              </w:rPr>
            </w:pPr>
          </w:p>
        </w:tc>
        <w:tc>
          <w:tcPr>
            <w:tcW w:w="8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sz w:val="18"/>
                <w:szCs w:val="18"/>
              </w:rPr>
            </w:pPr>
          </w:p>
        </w:tc>
        <w:tc>
          <w:tcPr>
            <w:tcW w:w="897" w:type="dxa"/>
            <w:tcBorders>
              <w:top w:val="single" w:sz="4" w:space="0" w:color="auto"/>
              <w:left w:val="single" w:sz="4" w:space="0" w:color="BFBFBF" w:themeColor="background1" w:themeShade="BF"/>
              <w:bottom w:val="single" w:sz="4" w:space="0" w:color="auto"/>
              <w:right w:val="single" w:sz="4" w:space="0" w:color="auto"/>
            </w:tcBorders>
            <w:shd w:val="clear" w:color="auto" w:fill="D9D9D9" w:themeFill="background1" w:themeFillShade="D9"/>
            <w:vAlign w:val="center"/>
          </w:tcPr>
          <w:p w:rsidR="00201C5D" w:rsidRPr="00EC06E7" w:rsidRDefault="00201C5D" w:rsidP="00081531">
            <w:pPr>
              <w:jc w:val="right"/>
              <w:rPr>
                <w:rFonts w:cs="Courier New"/>
                <w:b/>
                <w:sz w:val="18"/>
                <w:szCs w:val="18"/>
              </w:rPr>
            </w:pPr>
            <w:r>
              <w:rPr>
                <w:rFonts w:cs="Courier New"/>
                <w:b/>
                <w:sz w:val="18"/>
                <w:szCs w:val="18"/>
              </w:rPr>
              <w:t>(6</w:t>
            </w:r>
            <w:r w:rsidRPr="00EC06E7">
              <w:rPr>
                <w:rFonts w:cs="Courier New"/>
                <w:b/>
                <w:sz w:val="18"/>
                <w:szCs w:val="18"/>
              </w:rPr>
              <w:t>,</w:t>
            </w:r>
            <w:r>
              <w:rPr>
                <w:rFonts w:cs="Courier New"/>
                <w:b/>
                <w:sz w:val="18"/>
                <w:szCs w:val="18"/>
              </w:rPr>
              <w:t>526)</w:t>
            </w:r>
          </w:p>
        </w:tc>
      </w:tr>
    </w:tbl>
    <w:p w:rsidR="00201C5D" w:rsidRPr="003365A5" w:rsidRDefault="00201C5D" w:rsidP="00201C5D">
      <w:pPr>
        <w:rPr>
          <w:rFonts w:cs="Courier New"/>
          <w:szCs w:val="22"/>
          <w:highlight w:val="yellow"/>
        </w:rPr>
      </w:pPr>
    </w:p>
    <w:p w:rsidR="00201C5D" w:rsidRPr="003365A5" w:rsidRDefault="00201C5D" w:rsidP="00201C5D">
      <w:pPr>
        <w:jc w:val="both"/>
        <w:rPr>
          <w:rFonts w:cs="Courier New"/>
          <w:szCs w:val="22"/>
          <w:highlight w:val="yellow"/>
        </w:rPr>
      </w:pPr>
    </w:p>
    <w:p w:rsidR="00201C5D" w:rsidRPr="001D3551" w:rsidRDefault="00201C5D" w:rsidP="00201C5D">
      <w:pPr>
        <w:jc w:val="both"/>
        <w:rPr>
          <w:rFonts w:cs="Courier New"/>
          <w:color w:val="FF0000"/>
          <w:szCs w:val="22"/>
          <w:highlight w:val="yellow"/>
        </w:rPr>
      </w:pPr>
    </w:p>
    <w:p w:rsidR="00201C5D" w:rsidRPr="001D3551" w:rsidRDefault="00201C5D" w:rsidP="00201C5D">
      <w:pPr>
        <w:keepNext/>
        <w:numPr>
          <w:ilvl w:val="1"/>
          <w:numId w:val="8"/>
        </w:numPr>
        <w:ind w:hanging="436"/>
        <w:jc w:val="both"/>
        <w:outlineLvl w:val="0"/>
        <w:rPr>
          <w:rFonts w:cs="Arial"/>
          <w:szCs w:val="22"/>
        </w:rPr>
      </w:pPr>
      <w:r>
        <w:rPr>
          <w:rFonts w:cs="Arial"/>
          <w:szCs w:val="22"/>
        </w:rPr>
        <w:t xml:space="preserve">The most </w:t>
      </w:r>
      <w:r w:rsidR="00162536">
        <w:rPr>
          <w:rFonts w:cs="Arial"/>
          <w:szCs w:val="22"/>
        </w:rPr>
        <w:t>noticeable</w:t>
      </w:r>
      <w:r>
        <w:rPr>
          <w:rFonts w:cs="Arial"/>
          <w:szCs w:val="22"/>
        </w:rPr>
        <w:t xml:space="preserve"> </w:t>
      </w:r>
      <w:r w:rsidR="00267EE4">
        <w:rPr>
          <w:rFonts w:cs="Arial"/>
          <w:szCs w:val="22"/>
        </w:rPr>
        <w:t xml:space="preserve">change </w:t>
      </w:r>
      <w:r>
        <w:rPr>
          <w:rFonts w:cs="Arial"/>
          <w:szCs w:val="22"/>
        </w:rPr>
        <w:t>in the CI</w:t>
      </w:r>
      <w:r w:rsidR="00267EE4">
        <w:rPr>
          <w:rFonts w:cs="Arial"/>
          <w:szCs w:val="22"/>
        </w:rPr>
        <w:t>&amp;</w:t>
      </w:r>
      <w:r>
        <w:rPr>
          <w:rFonts w:cs="Arial"/>
          <w:szCs w:val="22"/>
        </w:rPr>
        <w:t>ES</w:t>
      </w:r>
      <w:r w:rsidR="00267EE4">
        <w:rPr>
          <w:rFonts w:cs="Arial"/>
          <w:szCs w:val="22"/>
        </w:rPr>
        <w:t xml:space="preserve"> is the addition of the ‘Budgets not in directorates’ </w:t>
      </w:r>
      <w:r w:rsidR="00162536">
        <w:rPr>
          <w:rFonts w:cs="Arial"/>
          <w:szCs w:val="22"/>
        </w:rPr>
        <w:t>line with the Cost of Service section. This holds the costs relating to the lump sum payment of the pension deficit recover</w:t>
      </w:r>
      <w:r w:rsidR="009D06D9">
        <w:rPr>
          <w:rFonts w:cs="Arial"/>
          <w:szCs w:val="22"/>
        </w:rPr>
        <w:t>y</w:t>
      </w:r>
      <w:r w:rsidR="00162536">
        <w:rPr>
          <w:rFonts w:cs="Arial"/>
          <w:szCs w:val="22"/>
        </w:rPr>
        <w:t xml:space="preserve"> sum and </w:t>
      </w:r>
      <w:r w:rsidR="009D06D9">
        <w:rPr>
          <w:rFonts w:cs="Arial"/>
          <w:szCs w:val="22"/>
        </w:rPr>
        <w:t>an explanation is set out</w:t>
      </w:r>
      <w:r w:rsidR="00162536">
        <w:rPr>
          <w:rFonts w:cs="Arial"/>
          <w:szCs w:val="22"/>
        </w:rPr>
        <w:t xml:space="preserve"> in paragraph </w:t>
      </w:r>
      <w:r w:rsidR="00D21015" w:rsidRPr="00D21015">
        <w:rPr>
          <w:rFonts w:cs="Arial"/>
          <w:szCs w:val="22"/>
        </w:rPr>
        <w:t>5</w:t>
      </w:r>
      <w:r w:rsidR="00162536" w:rsidRPr="00D21015">
        <w:rPr>
          <w:rFonts w:cs="Arial"/>
          <w:szCs w:val="22"/>
        </w:rPr>
        <w:t>.6</w:t>
      </w:r>
      <w:r w:rsidR="00162536">
        <w:rPr>
          <w:rFonts w:cs="Arial"/>
          <w:szCs w:val="22"/>
        </w:rPr>
        <w:t xml:space="preserve"> under the Expenditure and Funding Analysis section</w:t>
      </w:r>
      <w:r>
        <w:rPr>
          <w:rFonts w:cs="Arial"/>
          <w:szCs w:val="22"/>
        </w:rPr>
        <w:t xml:space="preserve">. </w:t>
      </w:r>
      <w:r w:rsidR="00162536">
        <w:rPr>
          <w:rFonts w:cs="Arial"/>
          <w:szCs w:val="22"/>
        </w:rPr>
        <w:t>There have been some significant movements in both income and expenditure</w:t>
      </w:r>
      <w:r w:rsidRPr="001D3551">
        <w:rPr>
          <w:rFonts w:cs="Arial"/>
          <w:szCs w:val="22"/>
        </w:rPr>
        <w:t>.</w:t>
      </w:r>
      <w:r w:rsidR="00162536">
        <w:rPr>
          <w:rFonts w:cs="Arial"/>
          <w:szCs w:val="22"/>
        </w:rPr>
        <w:t xml:space="preserve"> These are briefly summarised below but will be covered in detailed at the Members Learning hour on the Statement of Accounts</w:t>
      </w:r>
      <w:r w:rsidR="008D3C4E">
        <w:rPr>
          <w:rFonts w:cs="Arial"/>
          <w:szCs w:val="22"/>
        </w:rPr>
        <w:t>:</w:t>
      </w:r>
    </w:p>
    <w:p w:rsidR="00201C5D" w:rsidRPr="001D3551" w:rsidRDefault="00201C5D" w:rsidP="00201C5D">
      <w:pPr>
        <w:jc w:val="both"/>
        <w:rPr>
          <w:rFonts w:cs="Arial"/>
          <w:szCs w:val="22"/>
        </w:rPr>
      </w:pPr>
    </w:p>
    <w:p w:rsidR="00201C5D" w:rsidRPr="001D3551" w:rsidRDefault="0068400C" w:rsidP="0068400C">
      <w:pPr>
        <w:numPr>
          <w:ilvl w:val="0"/>
          <w:numId w:val="32"/>
        </w:numPr>
        <w:spacing w:after="120"/>
        <w:jc w:val="both"/>
        <w:rPr>
          <w:rFonts w:cs="Courier New"/>
          <w:szCs w:val="22"/>
        </w:rPr>
      </w:pPr>
      <w:r>
        <w:rPr>
          <w:rFonts w:cs="Courier New"/>
          <w:szCs w:val="22"/>
        </w:rPr>
        <w:t>Overall, the expenditure on services has increase</w:t>
      </w:r>
      <w:r w:rsidR="008D3C4E">
        <w:rPr>
          <w:rFonts w:cs="Courier New"/>
          <w:szCs w:val="22"/>
        </w:rPr>
        <w:t>d</w:t>
      </w:r>
      <w:r>
        <w:rPr>
          <w:rFonts w:cs="Courier New"/>
          <w:szCs w:val="22"/>
        </w:rPr>
        <w:t xml:space="preserve"> by £0.633m moving from £42.515m in 2016/17 to £43.178m in 2017/18.</w:t>
      </w:r>
    </w:p>
    <w:p w:rsidR="00201C5D" w:rsidRPr="001D3551" w:rsidRDefault="0068400C" w:rsidP="00201C5D">
      <w:pPr>
        <w:numPr>
          <w:ilvl w:val="0"/>
          <w:numId w:val="32"/>
        </w:numPr>
        <w:spacing w:after="120"/>
        <w:jc w:val="both"/>
        <w:rPr>
          <w:rFonts w:cs="Courier New"/>
          <w:szCs w:val="22"/>
        </w:rPr>
      </w:pPr>
      <w:r>
        <w:rPr>
          <w:rFonts w:cs="Courier New"/>
          <w:szCs w:val="22"/>
        </w:rPr>
        <w:t xml:space="preserve">Within </w:t>
      </w:r>
      <w:r w:rsidR="00201C5D" w:rsidRPr="001D3551">
        <w:rPr>
          <w:rFonts w:cs="Courier New"/>
          <w:szCs w:val="22"/>
        </w:rPr>
        <w:t xml:space="preserve">Financing and Investment Income and </w:t>
      </w:r>
      <w:r w:rsidRPr="001D3551">
        <w:rPr>
          <w:rFonts w:cs="Courier New"/>
          <w:szCs w:val="22"/>
        </w:rPr>
        <w:t>Expenditure</w:t>
      </w:r>
      <w:r>
        <w:rPr>
          <w:rFonts w:cs="Courier New"/>
          <w:szCs w:val="22"/>
        </w:rPr>
        <w:t>,</w:t>
      </w:r>
      <w:r w:rsidRPr="001D3551">
        <w:rPr>
          <w:rFonts w:cs="Courier New"/>
          <w:szCs w:val="22"/>
        </w:rPr>
        <w:t xml:space="preserve"> </w:t>
      </w:r>
      <w:r>
        <w:rPr>
          <w:rFonts w:cs="Courier New"/>
          <w:szCs w:val="22"/>
        </w:rPr>
        <w:t>t</w:t>
      </w:r>
      <w:r w:rsidR="00201C5D" w:rsidRPr="001D3551">
        <w:rPr>
          <w:rFonts w:cs="Courier New"/>
          <w:szCs w:val="22"/>
        </w:rPr>
        <w:t xml:space="preserve">he main reason for the </w:t>
      </w:r>
      <w:r>
        <w:rPr>
          <w:rFonts w:cs="Courier New"/>
          <w:szCs w:val="22"/>
        </w:rPr>
        <w:t xml:space="preserve">reduction in expenditure is a £0.487m reduction in the interest costs on the </w:t>
      </w:r>
      <w:r w:rsidR="00245800">
        <w:rPr>
          <w:rFonts w:cs="Courier New"/>
          <w:szCs w:val="22"/>
        </w:rPr>
        <w:t>pension</w:t>
      </w:r>
      <w:r>
        <w:rPr>
          <w:rFonts w:cs="Courier New"/>
          <w:szCs w:val="22"/>
        </w:rPr>
        <w:t xml:space="preserve"> liability</w:t>
      </w:r>
      <w:r w:rsidR="00245800">
        <w:rPr>
          <w:rFonts w:cs="Courier New"/>
          <w:szCs w:val="22"/>
        </w:rPr>
        <w:t>, an accounting entry to bring in the Council’s share of the pension fund costs and income</w:t>
      </w:r>
      <w:r w:rsidR="00A21479">
        <w:rPr>
          <w:rFonts w:cs="Courier New"/>
          <w:szCs w:val="22"/>
        </w:rPr>
        <w:t>. There was a</w:t>
      </w:r>
      <w:r>
        <w:rPr>
          <w:rFonts w:cs="Courier New"/>
          <w:szCs w:val="22"/>
        </w:rPr>
        <w:t xml:space="preserve"> £0.071m reduction in expenditure </w:t>
      </w:r>
      <w:r w:rsidR="00A21479">
        <w:rPr>
          <w:rFonts w:cs="Courier New"/>
          <w:szCs w:val="22"/>
        </w:rPr>
        <w:t xml:space="preserve">for the </w:t>
      </w:r>
      <w:r w:rsidR="00201C5D">
        <w:rPr>
          <w:rFonts w:cs="Courier New"/>
          <w:szCs w:val="22"/>
        </w:rPr>
        <w:t xml:space="preserve">investment property portfolio </w:t>
      </w:r>
      <w:r w:rsidR="00201C5D" w:rsidRPr="001D3551">
        <w:rPr>
          <w:rFonts w:cs="Courier New"/>
          <w:szCs w:val="22"/>
        </w:rPr>
        <w:t xml:space="preserve">which </w:t>
      </w:r>
      <w:r w:rsidR="00245800">
        <w:rPr>
          <w:rFonts w:cs="Courier New"/>
          <w:szCs w:val="22"/>
        </w:rPr>
        <w:t>fell in value during 2016/17 resulting in a cost, but which</w:t>
      </w:r>
      <w:r w:rsidR="00A21479">
        <w:rPr>
          <w:rFonts w:cs="Courier New"/>
          <w:szCs w:val="22"/>
        </w:rPr>
        <w:t xml:space="preserve"> subsequently</w:t>
      </w:r>
      <w:r w:rsidR="00245800">
        <w:rPr>
          <w:rFonts w:cs="Courier New"/>
          <w:szCs w:val="22"/>
        </w:rPr>
        <w:t xml:space="preserve"> increased in value during 2017/18 </w:t>
      </w:r>
      <w:r w:rsidR="00A21479">
        <w:rPr>
          <w:rFonts w:cs="Courier New"/>
          <w:szCs w:val="22"/>
        </w:rPr>
        <w:t>and delivered</w:t>
      </w:r>
      <w:r w:rsidR="00245800">
        <w:rPr>
          <w:rFonts w:cs="Courier New"/>
          <w:szCs w:val="22"/>
        </w:rPr>
        <w:t xml:space="preserve"> additional income of £0.291m</w:t>
      </w:r>
      <w:r w:rsidR="00A21479">
        <w:rPr>
          <w:rFonts w:cs="Courier New"/>
          <w:szCs w:val="22"/>
        </w:rPr>
        <w:t>.  There was also a</w:t>
      </w:r>
      <w:r w:rsidR="00245800">
        <w:rPr>
          <w:rFonts w:cs="Courier New"/>
          <w:szCs w:val="22"/>
        </w:rPr>
        <w:t xml:space="preserve"> £0.337m reduction in interest income on the pension fund assets.</w:t>
      </w:r>
    </w:p>
    <w:p w:rsidR="00201C5D" w:rsidRPr="001D3551" w:rsidRDefault="00201C5D" w:rsidP="00201C5D">
      <w:pPr>
        <w:numPr>
          <w:ilvl w:val="0"/>
          <w:numId w:val="32"/>
        </w:numPr>
        <w:spacing w:after="120"/>
        <w:jc w:val="both"/>
        <w:rPr>
          <w:rFonts w:cs="Courier New"/>
          <w:szCs w:val="22"/>
        </w:rPr>
      </w:pPr>
      <w:r w:rsidRPr="001D3551">
        <w:rPr>
          <w:rFonts w:cs="Courier New"/>
          <w:szCs w:val="22"/>
        </w:rPr>
        <w:t>Taxation and Non-Specific Grant Income - Recognised Capital Grants and Contributions</w:t>
      </w:r>
      <w:r w:rsidR="00280B00" w:rsidRPr="00280B00">
        <w:rPr>
          <w:rFonts w:cs="Courier New"/>
          <w:szCs w:val="22"/>
        </w:rPr>
        <w:t xml:space="preserve"> </w:t>
      </w:r>
      <w:r w:rsidR="00280B00" w:rsidRPr="001D3551">
        <w:rPr>
          <w:rFonts w:cs="Courier New"/>
          <w:szCs w:val="22"/>
        </w:rPr>
        <w:t>income</w:t>
      </w:r>
      <w:r w:rsidR="00280B00">
        <w:rPr>
          <w:rFonts w:cs="Courier New"/>
          <w:szCs w:val="22"/>
        </w:rPr>
        <w:t>, including Section 106, Community Infrastructure Levy, City Deal and Disabled Facilities Grants</w:t>
      </w:r>
      <w:r w:rsidRPr="001D3551">
        <w:rPr>
          <w:rFonts w:cs="Courier New"/>
          <w:szCs w:val="22"/>
        </w:rPr>
        <w:t xml:space="preserve"> </w:t>
      </w:r>
      <w:r w:rsidR="00245800">
        <w:rPr>
          <w:rFonts w:cs="Courier New"/>
          <w:szCs w:val="22"/>
        </w:rPr>
        <w:t xml:space="preserve">has increased </w:t>
      </w:r>
      <w:r>
        <w:rPr>
          <w:rFonts w:cs="Courier New"/>
          <w:szCs w:val="22"/>
        </w:rPr>
        <w:t>by £</w:t>
      </w:r>
      <w:r w:rsidR="00245800">
        <w:rPr>
          <w:rFonts w:cs="Courier New"/>
          <w:szCs w:val="22"/>
        </w:rPr>
        <w:t>2</w:t>
      </w:r>
      <w:r>
        <w:rPr>
          <w:rFonts w:cs="Courier New"/>
          <w:szCs w:val="22"/>
        </w:rPr>
        <w:t>.</w:t>
      </w:r>
      <w:r w:rsidR="00245800">
        <w:rPr>
          <w:rFonts w:cs="Courier New"/>
          <w:szCs w:val="22"/>
        </w:rPr>
        <w:t>222</w:t>
      </w:r>
      <w:r w:rsidRPr="001D3551">
        <w:rPr>
          <w:rFonts w:cs="Courier New"/>
          <w:szCs w:val="22"/>
        </w:rPr>
        <w:t xml:space="preserve">m </w:t>
      </w:r>
      <w:r w:rsidR="00245800">
        <w:rPr>
          <w:rFonts w:cs="Courier New"/>
          <w:szCs w:val="22"/>
        </w:rPr>
        <w:t>to</w:t>
      </w:r>
      <w:r>
        <w:rPr>
          <w:rFonts w:cs="Courier New"/>
          <w:szCs w:val="22"/>
        </w:rPr>
        <w:t xml:space="preserve"> £</w:t>
      </w:r>
      <w:r w:rsidR="00245800">
        <w:rPr>
          <w:rFonts w:cs="Courier New"/>
          <w:szCs w:val="22"/>
        </w:rPr>
        <w:t>2</w:t>
      </w:r>
      <w:r>
        <w:rPr>
          <w:rFonts w:cs="Courier New"/>
          <w:szCs w:val="22"/>
        </w:rPr>
        <w:t>.</w:t>
      </w:r>
      <w:r w:rsidR="00245800">
        <w:rPr>
          <w:rFonts w:cs="Courier New"/>
          <w:szCs w:val="22"/>
        </w:rPr>
        <w:t>941</w:t>
      </w:r>
      <w:r>
        <w:rPr>
          <w:rFonts w:cs="Courier New"/>
          <w:szCs w:val="22"/>
        </w:rPr>
        <w:t xml:space="preserve">m </w:t>
      </w:r>
      <w:r w:rsidR="00245800">
        <w:rPr>
          <w:rFonts w:cs="Courier New"/>
          <w:szCs w:val="22"/>
        </w:rPr>
        <w:t>but</w:t>
      </w:r>
      <w:r w:rsidRPr="001D3551">
        <w:rPr>
          <w:rFonts w:cs="Courier New"/>
          <w:szCs w:val="22"/>
        </w:rPr>
        <w:t xml:space="preserve"> New</w:t>
      </w:r>
      <w:r>
        <w:rPr>
          <w:rFonts w:cs="Courier New"/>
          <w:szCs w:val="22"/>
        </w:rPr>
        <w:t xml:space="preserve"> Homes Bonus </w:t>
      </w:r>
      <w:r w:rsidR="00245800">
        <w:rPr>
          <w:rFonts w:cs="Courier New"/>
          <w:szCs w:val="22"/>
        </w:rPr>
        <w:t>de</w:t>
      </w:r>
      <w:r w:rsidR="005A6B54">
        <w:rPr>
          <w:rFonts w:cs="Courier New"/>
          <w:szCs w:val="22"/>
        </w:rPr>
        <w:t xml:space="preserve">creased by £0.080m and </w:t>
      </w:r>
      <w:r w:rsidRPr="001D3551">
        <w:rPr>
          <w:rFonts w:cs="Courier New"/>
          <w:szCs w:val="22"/>
        </w:rPr>
        <w:t>Revenue Support Grant fell by £0.</w:t>
      </w:r>
      <w:r w:rsidR="005A6B54">
        <w:rPr>
          <w:rFonts w:cs="Courier New"/>
          <w:szCs w:val="22"/>
        </w:rPr>
        <w:t>6</w:t>
      </w:r>
      <w:r>
        <w:rPr>
          <w:rFonts w:cs="Courier New"/>
          <w:szCs w:val="22"/>
        </w:rPr>
        <w:t>60</w:t>
      </w:r>
      <w:r w:rsidRPr="001D3551">
        <w:rPr>
          <w:rFonts w:cs="Courier New"/>
          <w:szCs w:val="22"/>
        </w:rPr>
        <w:t>m</w:t>
      </w:r>
      <w:r w:rsidR="005A6B54">
        <w:rPr>
          <w:rFonts w:cs="Courier New"/>
          <w:szCs w:val="22"/>
        </w:rPr>
        <w:t>.</w:t>
      </w:r>
      <w:r w:rsidRPr="001D3551">
        <w:rPr>
          <w:rFonts w:cs="Courier New"/>
          <w:szCs w:val="22"/>
        </w:rPr>
        <w:t xml:space="preserve"> Ret</w:t>
      </w:r>
      <w:r>
        <w:rPr>
          <w:rFonts w:cs="Courier New"/>
          <w:szCs w:val="22"/>
        </w:rPr>
        <w:t xml:space="preserve">ained Business </w:t>
      </w:r>
      <w:r w:rsidR="005A6B54">
        <w:rPr>
          <w:rFonts w:cs="Courier New"/>
          <w:szCs w:val="22"/>
        </w:rPr>
        <w:t>Rates income fell</w:t>
      </w:r>
      <w:r w:rsidRPr="001D3551">
        <w:rPr>
          <w:rFonts w:cs="Courier New"/>
          <w:szCs w:val="22"/>
        </w:rPr>
        <w:t xml:space="preserve"> by £</w:t>
      </w:r>
      <w:r w:rsidR="005A6B54">
        <w:rPr>
          <w:rFonts w:cs="Courier New"/>
          <w:szCs w:val="22"/>
        </w:rPr>
        <w:t>2</w:t>
      </w:r>
      <w:r>
        <w:rPr>
          <w:rFonts w:cs="Courier New"/>
          <w:szCs w:val="22"/>
        </w:rPr>
        <w:t>.</w:t>
      </w:r>
      <w:r w:rsidR="00280B00">
        <w:rPr>
          <w:rFonts w:cs="Courier New"/>
          <w:szCs w:val="22"/>
        </w:rPr>
        <w:t>481</w:t>
      </w:r>
      <w:r w:rsidRPr="001D3551">
        <w:rPr>
          <w:rFonts w:cs="Courier New"/>
          <w:szCs w:val="22"/>
        </w:rPr>
        <w:t>m</w:t>
      </w:r>
      <w:r w:rsidR="00280B00">
        <w:rPr>
          <w:rFonts w:cs="Courier New"/>
          <w:szCs w:val="22"/>
        </w:rPr>
        <w:t xml:space="preserve"> due to the 2017 revaluation</w:t>
      </w:r>
      <w:r w:rsidRPr="001D3551">
        <w:rPr>
          <w:rFonts w:cs="Courier New"/>
          <w:szCs w:val="22"/>
        </w:rPr>
        <w:t>.</w:t>
      </w:r>
      <w:r>
        <w:rPr>
          <w:rFonts w:cs="Courier New"/>
          <w:szCs w:val="22"/>
        </w:rPr>
        <w:t xml:space="preserve"> Othe</w:t>
      </w:r>
      <w:r w:rsidR="00280B00">
        <w:rPr>
          <w:rFonts w:cs="Courier New"/>
          <w:szCs w:val="22"/>
        </w:rPr>
        <w:t>r general government grants increased</w:t>
      </w:r>
      <w:r>
        <w:rPr>
          <w:rFonts w:cs="Courier New"/>
          <w:szCs w:val="22"/>
        </w:rPr>
        <w:t xml:space="preserve"> by £0.</w:t>
      </w:r>
      <w:r w:rsidR="00280B00">
        <w:rPr>
          <w:rFonts w:cs="Courier New"/>
          <w:szCs w:val="22"/>
        </w:rPr>
        <w:t>522</w:t>
      </w:r>
      <w:r>
        <w:rPr>
          <w:rFonts w:cs="Courier New"/>
          <w:szCs w:val="22"/>
        </w:rPr>
        <w:t>m. This contributed to an overall de</w:t>
      </w:r>
      <w:r w:rsidRPr="001D3551">
        <w:rPr>
          <w:rFonts w:cs="Courier New"/>
          <w:szCs w:val="22"/>
        </w:rPr>
        <w:t>crease in income of £</w:t>
      </w:r>
      <w:r w:rsidR="00280B00">
        <w:rPr>
          <w:rFonts w:cs="Courier New"/>
          <w:szCs w:val="22"/>
        </w:rPr>
        <w:t>0</w:t>
      </w:r>
      <w:r w:rsidRPr="001D3551">
        <w:rPr>
          <w:rFonts w:cs="Courier New"/>
          <w:szCs w:val="22"/>
        </w:rPr>
        <w:t>.</w:t>
      </w:r>
      <w:r w:rsidR="00280B00">
        <w:rPr>
          <w:rFonts w:cs="Courier New"/>
          <w:szCs w:val="22"/>
        </w:rPr>
        <w:t>430</w:t>
      </w:r>
      <w:r w:rsidRPr="001D3551">
        <w:rPr>
          <w:rFonts w:cs="Courier New"/>
          <w:szCs w:val="22"/>
        </w:rPr>
        <w:t>m.</w:t>
      </w:r>
      <w:r w:rsidRPr="001D3551">
        <w:rPr>
          <w:rFonts w:ascii="Times New Roman" w:hAnsi="Times New Roman"/>
          <w:sz w:val="24"/>
          <w:szCs w:val="24"/>
        </w:rPr>
        <w:t xml:space="preserve"> </w:t>
      </w:r>
      <w:r w:rsidRPr="001D3551">
        <w:rPr>
          <w:rFonts w:cs="Courier New"/>
          <w:szCs w:val="22"/>
        </w:rPr>
        <w:t xml:space="preserve">In relation to the decrease in expenditure, this movement </w:t>
      </w:r>
      <w:r w:rsidR="00280B00">
        <w:rPr>
          <w:rFonts w:cs="Courier New"/>
          <w:szCs w:val="22"/>
        </w:rPr>
        <w:t xml:space="preserve">of £2.311m </w:t>
      </w:r>
      <w:r w:rsidRPr="001D3551">
        <w:rPr>
          <w:rFonts w:cs="Courier New"/>
          <w:szCs w:val="22"/>
        </w:rPr>
        <w:t>related to</w:t>
      </w:r>
      <w:r w:rsidR="00280B00">
        <w:rPr>
          <w:rFonts w:cs="Courier New"/>
          <w:szCs w:val="22"/>
        </w:rPr>
        <w:t xml:space="preserve"> the </w:t>
      </w:r>
      <w:r w:rsidRPr="001D3551">
        <w:rPr>
          <w:rFonts w:cs="Courier New"/>
          <w:szCs w:val="22"/>
        </w:rPr>
        <w:t>Business Rates</w:t>
      </w:r>
      <w:r w:rsidR="00280B00">
        <w:rPr>
          <w:rFonts w:cs="Courier New"/>
          <w:szCs w:val="22"/>
        </w:rPr>
        <w:t xml:space="preserve"> Tariff </w:t>
      </w:r>
      <w:r w:rsidRPr="001D3551">
        <w:rPr>
          <w:rFonts w:cs="Courier New"/>
          <w:szCs w:val="22"/>
        </w:rPr>
        <w:t>where</w:t>
      </w:r>
      <w:r>
        <w:rPr>
          <w:rFonts w:cs="Courier New"/>
          <w:szCs w:val="22"/>
        </w:rPr>
        <w:t xml:space="preserve"> </w:t>
      </w:r>
      <w:r w:rsidR="00280B00">
        <w:rPr>
          <w:rFonts w:cs="Courier New"/>
          <w:szCs w:val="22"/>
        </w:rPr>
        <w:t xml:space="preserve">Business Rates Revaluation lowered the overall rateable value of business premises in the borough </w:t>
      </w:r>
      <w:r w:rsidR="008B54F8">
        <w:rPr>
          <w:rFonts w:cs="Courier New"/>
          <w:szCs w:val="22"/>
        </w:rPr>
        <w:t xml:space="preserve">coupled with a </w:t>
      </w:r>
      <w:r w:rsidR="00280B00">
        <w:rPr>
          <w:rFonts w:cs="Courier New"/>
          <w:szCs w:val="22"/>
        </w:rPr>
        <w:t xml:space="preserve">reduction in the Business Rates multiplier </w:t>
      </w:r>
      <w:r w:rsidR="002C0479">
        <w:rPr>
          <w:rFonts w:cs="Courier New"/>
          <w:szCs w:val="22"/>
        </w:rPr>
        <w:t xml:space="preserve">which further </w:t>
      </w:r>
      <w:r w:rsidR="00280B00">
        <w:rPr>
          <w:rFonts w:cs="Courier New"/>
          <w:szCs w:val="22"/>
        </w:rPr>
        <w:t>reduced Business Rates income. The effect is that the amount of income collected was much lower and so the tariff, the difference between our deemed funding baseline requirement and the amount of income we collect, and which is paid to central government, was also much lower</w:t>
      </w:r>
      <w:r w:rsidR="008B54F8">
        <w:rPr>
          <w:rFonts w:cs="Courier New"/>
          <w:szCs w:val="22"/>
        </w:rPr>
        <w:t>, being £9.664m in 2017/18 compared to £11.955m in 2016/17.</w:t>
      </w:r>
      <w:r w:rsidR="002C0479">
        <w:rPr>
          <w:rFonts w:cs="Courier New"/>
          <w:szCs w:val="22"/>
        </w:rPr>
        <w:t xml:space="preserve"> More information on the Business Rates Revaluation is presented in paragraph 7.17, the Collection Fund section of this report.</w:t>
      </w:r>
    </w:p>
    <w:p w:rsidR="00201C5D" w:rsidRPr="001D3551" w:rsidRDefault="00201C5D" w:rsidP="00201C5D">
      <w:pPr>
        <w:numPr>
          <w:ilvl w:val="0"/>
          <w:numId w:val="32"/>
        </w:numPr>
        <w:spacing w:after="120"/>
        <w:jc w:val="both"/>
        <w:rPr>
          <w:rFonts w:cs="Courier New"/>
          <w:szCs w:val="22"/>
        </w:rPr>
      </w:pPr>
      <w:r w:rsidRPr="001D3551">
        <w:rPr>
          <w:rFonts w:cs="Courier New"/>
          <w:szCs w:val="22"/>
        </w:rPr>
        <w:t xml:space="preserve">Finally, under Other Comprehensive Income and Expenditure there was a </w:t>
      </w:r>
      <w:r>
        <w:rPr>
          <w:rFonts w:cs="Courier New"/>
          <w:szCs w:val="22"/>
        </w:rPr>
        <w:t xml:space="preserve">relatively small </w:t>
      </w:r>
      <w:r w:rsidRPr="001D3551">
        <w:rPr>
          <w:rFonts w:cs="Courier New"/>
          <w:szCs w:val="22"/>
        </w:rPr>
        <w:t>revaluation gain on Pro</w:t>
      </w:r>
      <w:r>
        <w:rPr>
          <w:rFonts w:cs="Courier New"/>
          <w:szCs w:val="22"/>
        </w:rPr>
        <w:t>perty, Plant and Equipment of £0</w:t>
      </w:r>
      <w:r w:rsidRPr="001D3551">
        <w:rPr>
          <w:rFonts w:cs="Courier New"/>
          <w:szCs w:val="22"/>
        </w:rPr>
        <w:t>.</w:t>
      </w:r>
      <w:r>
        <w:rPr>
          <w:rFonts w:cs="Courier New"/>
          <w:szCs w:val="22"/>
        </w:rPr>
        <w:t>1</w:t>
      </w:r>
      <w:r w:rsidR="008B54F8">
        <w:rPr>
          <w:rFonts w:cs="Courier New"/>
          <w:szCs w:val="22"/>
        </w:rPr>
        <w:t>28</w:t>
      </w:r>
      <w:r w:rsidRPr="001D3551">
        <w:rPr>
          <w:rFonts w:cs="Courier New"/>
          <w:szCs w:val="22"/>
        </w:rPr>
        <w:t>m which is held in the Revaluation Reserve until it can be realised on disposal</w:t>
      </w:r>
      <w:r>
        <w:rPr>
          <w:rFonts w:cs="Courier New"/>
          <w:szCs w:val="22"/>
        </w:rPr>
        <w:t xml:space="preserve"> of the asset</w:t>
      </w:r>
      <w:r w:rsidR="008B54F8">
        <w:rPr>
          <w:rFonts w:cs="Courier New"/>
          <w:szCs w:val="22"/>
        </w:rPr>
        <w:t>s to which it relates. This is only a small</w:t>
      </w:r>
      <w:r>
        <w:rPr>
          <w:rFonts w:cs="Courier New"/>
          <w:szCs w:val="22"/>
        </w:rPr>
        <w:t xml:space="preserve"> movement of £</w:t>
      </w:r>
      <w:r w:rsidR="008B54F8">
        <w:rPr>
          <w:rFonts w:cs="Courier New"/>
          <w:szCs w:val="22"/>
        </w:rPr>
        <w:t>0</w:t>
      </w:r>
      <w:r>
        <w:rPr>
          <w:rFonts w:cs="Courier New"/>
          <w:szCs w:val="22"/>
        </w:rPr>
        <w:t>.</w:t>
      </w:r>
      <w:r w:rsidR="008B54F8">
        <w:rPr>
          <w:rFonts w:cs="Courier New"/>
          <w:szCs w:val="22"/>
        </w:rPr>
        <w:t xml:space="preserve">021m from the previous year. </w:t>
      </w:r>
      <w:r w:rsidRPr="001D3551">
        <w:rPr>
          <w:rFonts w:cs="Courier New"/>
          <w:szCs w:val="22"/>
        </w:rPr>
        <w:t>Additiona</w:t>
      </w:r>
      <w:r w:rsidR="00A21479">
        <w:rPr>
          <w:rFonts w:cs="Courier New"/>
          <w:szCs w:val="22"/>
        </w:rPr>
        <w:t>l</w:t>
      </w:r>
      <w:r w:rsidRPr="001D3551">
        <w:rPr>
          <w:rFonts w:cs="Courier New"/>
          <w:szCs w:val="22"/>
        </w:rPr>
        <w:t>l</w:t>
      </w:r>
      <w:r w:rsidR="00A21479">
        <w:rPr>
          <w:rFonts w:cs="Courier New"/>
          <w:szCs w:val="22"/>
        </w:rPr>
        <w:t>y</w:t>
      </w:r>
      <w:r w:rsidRPr="001D3551">
        <w:rPr>
          <w:rFonts w:cs="Courier New"/>
          <w:szCs w:val="22"/>
        </w:rPr>
        <w:t xml:space="preserve">, there has been an </w:t>
      </w:r>
      <w:r>
        <w:rPr>
          <w:rFonts w:cs="Courier New"/>
          <w:szCs w:val="22"/>
        </w:rPr>
        <w:t xml:space="preserve">overall </w:t>
      </w:r>
      <w:r w:rsidRPr="001D3551">
        <w:rPr>
          <w:rFonts w:cs="Courier New"/>
          <w:szCs w:val="22"/>
        </w:rPr>
        <w:t xml:space="preserve">actuarial </w:t>
      </w:r>
      <w:r w:rsidR="008B54F8">
        <w:rPr>
          <w:rFonts w:cs="Courier New"/>
          <w:szCs w:val="22"/>
        </w:rPr>
        <w:t>gain</w:t>
      </w:r>
      <w:r w:rsidRPr="001D3551">
        <w:rPr>
          <w:rFonts w:cs="Courier New"/>
          <w:szCs w:val="22"/>
        </w:rPr>
        <w:t xml:space="preserve"> on the re-measurement of the net defined benefit liability of £</w:t>
      </w:r>
      <w:r w:rsidR="008B54F8">
        <w:rPr>
          <w:rFonts w:cs="Courier New"/>
          <w:szCs w:val="22"/>
        </w:rPr>
        <w:t>5</w:t>
      </w:r>
      <w:r w:rsidRPr="001D3551">
        <w:rPr>
          <w:rFonts w:cs="Courier New"/>
          <w:szCs w:val="22"/>
        </w:rPr>
        <w:t>.</w:t>
      </w:r>
      <w:r w:rsidR="008B54F8">
        <w:rPr>
          <w:rFonts w:cs="Courier New"/>
          <w:szCs w:val="22"/>
        </w:rPr>
        <w:t>077</w:t>
      </w:r>
      <w:r w:rsidRPr="001D3551">
        <w:rPr>
          <w:rFonts w:cs="Courier New"/>
          <w:szCs w:val="22"/>
        </w:rPr>
        <w:t xml:space="preserve">m compared to the </w:t>
      </w:r>
      <w:r w:rsidRPr="00BA72DF">
        <w:rPr>
          <w:rFonts w:cs="Courier New"/>
          <w:szCs w:val="22"/>
        </w:rPr>
        <w:t>£</w:t>
      </w:r>
      <w:r w:rsidR="008B54F8">
        <w:rPr>
          <w:rFonts w:cs="Courier New"/>
          <w:szCs w:val="22"/>
        </w:rPr>
        <w:t>4</w:t>
      </w:r>
      <w:r w:rsidRPr="00BA72DF">
        <w:rPr>
          <w:rFonts w:cs="Courier New"/>
          <w:szCs w:val="22"/>
        </w:rPr>
        <w:t>.</w:t>
      </w:r>
      <w:r w:rsidR="008B54F8">
        <w:rPr>
          <w:rFonts w:cs="Courier New"/>
          <w:szCs w:val="22"/>
        </w:rPr>
        <w:t>982</w:t>
      </w:r>
      <w:r w:rsidRPr="00BA72DF">
        <w:rPr>
          <w:rFonts w:cs="Courier New"/>
          <w:szCs w:val="22"/>
        </w:rPr>
        <w:t xml:space="preserve">m </w:t>
      </w:r>
      <w:r w:rsidR="008B54F8">
        <w:rPr>
          <w:rFonts w:cs="Courier New"/>
          <w:szCs w:val="22"/>
        </w:rPr>
        <w:t>loss</w:t>
      </w:r>
      <w:r w:rsidRPr="001D3551">
        <w:rPr>
          <w:rFonts w:cs="Courier New"/>
          <w:szCs w:val="22"/>
        </w:rPr>
        <w:t xml:space="preserve"> in 201</w:t>
      </w:r>
      <w:r w:rsidR="008B54F8">
        <w:rPr>
          <w:rFonts w:cs="Courier New"/>
          <w:szCs w:val="22"/>
        </w:rPr>
        <w:t>6/17</w:t>
      </w:r>
      <w:r>
        <w:rPr>
          <w:rFonts w:cs="Courier New"/>
          <w:szCs w:val="22"/>
        </w:rPr>
        <w:t>, a movement of £</w:t>
      </w:r>
      <w:r w:rsidR="008B54F8">
        <w:rPr>
          <w:rFonts w:cs="Courier New"/>
          <w:szCs w:val="22"/>
        </w:rPr>
        <w:t>10</w:t>
      </w:r>
      <w:r>
        <w:rPr>
          <w:rFonts w:cs="Courier New"/>
          <w:szCs w:val="22"/>
        </w:rPr>
        <w:t>.</w:t>
      </w:r>
      <w:r w:rsidR="008B54F8">
        <w:rPr>
          <w:rFonts w:cs="Courier New"/>
          <w:szCs w:val="22"/>
        </w:rPr>
        <w:t>059</w:t>
      </w:r>
      <w:r>
        <w:rPr>
          <w:rFonts w:cs="Courier New"/>
          <w:szCs w:val="22"/>
        </w:rPr>
        <w:t>m. T</w:t>
      </w:r>
      <w:r w:rsidR="008B54F8">
        <w:rPr>
          <w:rFonts w:cs="Courier New"/>
          <w:szCs w:val="22"/>
        </w:rPr>
        <w:t>his</w:t>
      </w:r>
      <w:r>
        <w:rPr>
          <w:rFonts w:cs="Courier New"/>
          <w:szCs w:val="22"/>
        </w:rPr>
        <w:t xml:space="preserve"> movement account</w:t>
      </w:r>
      <w:r w:rsidR="008B54F8">
        <w:rPr>
          <w:rFonts w:cs="Courier New"/>
          <w:szCs w:val="22"/>
        </w:rPr>
        <w:t>s</w:t>
      </w:r>
      <w:r>
        <w:rPr>
          <w:rFonts w:cs="Courier New"/>
          <w:szCs w:val="22"/>
        </w:rPr>
        <w:t xml:space="preserve"> for the </w:t>
      </w:r>
      <w:r w:rsidR="008B54F8">
        <w:rPr>
          <w:rFonts w:cs="Courier New"/>
          <w:szCs w:val="22"/>
        </w:rPr>
        <w:t xml:space="preserve">vast </w:t>
      </w:r>
      <w:r>
        <w:rPr>
          <w:rFonts w:cs="Courier New"/>
          <w:szCs w:val="22"/>
        </w:rPr>
        <w:t xml:space="preserve">majority of the movement in </w:t>
      </w:r>
      <w:r w:rsidRPr="00BA72DF">
        <w:rPr>
          <w:rFonts w:cs="Courier New"/>
          <w:szCs w:val="22"/>
        </w:rPr>
        <w:t>Total Comprehensi</w:t>
      </w:r>
      <w:r>
        <w:rPr>
          <w:rFonts w:cs="Courier New"/>
          <w:szCs w:val="22"/>
        </w:rPr>
        <w:t>ve Income</w:t>
      </w:r>
      <w:r w:rsidRPr="00BA72DF">
        <w:rPr>
          <w:rFonts w:cs="Courier New"/>
          <w:szCs w:val="22"/>
        </w:rPr>
        <w:t xml:space="preserve"> and Expenditure</w:t>
      </w:r>
      <w:r>
        <w:rPr>
          <w:rFonts w:cs="Courier New"/>
          <w:szCs w:val="22"/>
        </w:rPr>
        <w:t xml:space="preserve"> of £</w:t>
      </w:r>
      <w:r w:rsidR="008B54F8">
        <w:rPr>
          <w:rFonts w:cs="Courier New"/>
          <w:szCs w:val="22"/>
        </w:rPr>
        <w:t>10</w:t>
      </w:r>
      <w:r>
        <w:rPr>
          <w:rFonts w:cs="Courier New"/>
          <w:szCs w:val="22"/>
        </w:rPr>
        <w:t>.</w:t>
      </w:r>
      <w:r w:rsidR="008B54F8">
        <w:rPr>
          <w:rFonts w:cs="Courier New"/>
          <w:szCs w:val="22"/>
        </w:rPr>
        <w:t>112</w:t>
      </w:r>
      <w:r w:rsidR="002C0479">
        <w:rPr>
          <w:rFonts w:cs="Courier New"/>
          <w:szCs w:val="22"/>
        </w:rPr>
        <w:t xml:space="preserve">m, resulting in </w:t>
      </w:r>
      <w:r w:rsidR="008B54F8">
        <w:rPr>
          <w:rFonts w:cs="Courier New"/>
          <w:szCs w:val="22"/>
        </w:rPr>
        <w:t>income</w:t>
      </w:r>
      <w:r>
        <w:rPr>
          <w:rFonts w:cs="Courier New"/>
          <w:szCs w:val="22"/>
        </w:rPr>
        <w:t xml:space="preserve"> of £</w:t>
      </w:r>
      <w:r w:rsidR="008B54F8">
        <w:rPr>
          <w:rFonts w:cs="Courier New"/>
          <w:szCs w:val="22"/>
        </w:rPr>
        <w:t>6</w:t>
      </w:r>
      <w:r>
        <w:rPr>
          <w:rFonts w:cs="Courier New"/>
          <w:szCs w:val="22"/>
        </w:rPr>
        <w:t>.</w:t>
      </w:r>
      <w:r w:rsidR="008B54F8">
        <w:rPr>
          <w:rFonts w:cs="Courier New"/>
          <w:szCs w:val="22"/>
        </w:rPr>
        <w:t>526</w:t>
      </w:r>
      <w:r>
        <w:rPr>
          <w:rFonts w:cs="Courier New"/>
          <w:szCs w:val="22"/>
        </w:rPr>
        <w:t>m in 201</w:t>
      </w:r>
      <w:r w:rsidR="008B54F8">
        <w:rPr>
          <w:rFonts w:cs="Courier New"/>
          <w:szCs w:val="22"/>
        </w:rPr>
        <w:t>7</w:t>
      </w:r>
      <w:r>
        <w:rPr>
          <w:rFonts w:cs="Courier New"/>
          <w:szCs w:val="22"/>
        </w:rPr>
        <w:t>/1</w:t>
      </w:r>
      <w:r w:rsidR="008B54F8">
        <w:rPr>
          <w:rFonts w:cs="Courier New"/>
          <w:szCs w:val="22"/>
        </w:rPr>
        <w:t>8</w:t>
      </w:r>
      <w:r>
        <w:rPr>
          <w:rFonts w:cs="Courier New"/>
          <w:szCs w:val="22"/>
        </w:rPr>
        <w:t>. The actual surplus on the provision of ser</w:t>
      </w:r>
      <w:r w:rsidR="008B54F8">
        <w:rPr>
          <w:rFonts w:cs="Courier New"/>
          <w:szCs w:val="22"/>
        </w:rPr>
        <w:t>vice in 2016/17 stands at £1.321m</w:t>
      </w:r>
      <w:r>
        <w:rPr>
          <w:rFonts w:cs="Courier New"/>
          <w:szCs w:val="22"/>
        </w:rPr>
        <w:t xml:space="preserve"> and was broadly comparabl</w:t>
      </w:r>
      <w:r w:rsidR="008B54F8">
        <w:rPr>
          <w:rFonts w:cs="Courier New"/>
          <w:szCs w:val="22"/>
        </w:rPr>
        <w:t>e with the 2016/17</w:t>
      </w:r>
      <w:r>
        <w:rPr>
          <w:rFonts w:cs="Courier New"/>
          <w:szCs w:val="22"/>
        </w:rPr>
        <w:t xml:space="preserve"> surplus of £1.</w:t>
      </w:r>
      <w:r w:rsidR="008B54F8">
        <w:rPr>
          <w:rFonts w:cs="Courier New"/>
          <w:szCs w:val="22"/>
        </w:rPr>
        <w:t>289</w:t>
      </w:r>
      <w:r>
        <w:rPr>
          <w:rFonts w:cs="Courier New"/>
          <w:szCs w:val="22"/>
        </w:rPr>
        <w:t xml:space="preserve">m. </w:t>
      </w:r>
      <w:r w:rsidRPr="001D3551">
        <w:rPr>
          <w:rFonts w:cs="Courier New"/>
          <w:szCs w:val="22"/>
        </w:rPr>
        <w:t>More detail on pensions is provided in the Balance Sheet section of this report.</w:t>
      </w:r>
    </w:p>
    <w:p w:rsidR="00201C5D" w:rsidRPr="001D3551" w:rsidRDefault="00201C5D" w:rsidP="00201C5D">
      <w:pPr>
        <w:jc w:val="both"/>
        <w:rPr>
          <w:rFonts w:cs="Courier New"/>
          <w:strike/>
          <w:color w:val="FF0000"/>
          <w:szCs w:val="22"/>
          <w:highlight w:val="yellow"/>
        </w:rPr>
      </w:pPr>
    </w:p>
    <w:p w:rsidR="00201C5D" w:rsidRPr="001D3551" w:rsidRDefault="00201C5D" w:rsidP="00201C5D">
      <w:pPr>
        <w:rPr>
          <w:rFonts w:cs="Courier New"/>
          <w:b/>
          <w:color w:val="FF0000"/>
          <w:szCs w:val="22"/>
        </w:rPr>
      </w:pPr>
      <w:r w:rsidRPr="001D3551">
        <w:rPr>
          <w:rFonts w:cs="Courier New"/>
          <w:b/>
          <w:color w:val="FF0000"/>
          <w:szCs w:val="22"/>
        </w:rPr>
        <w:br w:type="page"/>
      </w:r>
    </w:p>
    <w:p w:rsidR="00201C5D" w:rsidRPr="00931613" w:rsidRDefault="00201C5D" w:rsidP="00201C5D">
      <w:pPr>
        <w:pBdr>
          <w:top w:val="single" w:sz="2" w:space="1" w:color="FFFFFF"/>
          <w:left w:val="single" w:sz="2" w:space="0" w:color="FFFFFF"/>
          <w:bottom w:val="single" w:sz="2" w:space="2" w:color="FFFFFF"/>
          <w:right w:val="single" w:sz="2" w:space="4" w:color="FFFFFF"/>
        </w:pBdr>
        <w:tabs>
          <w:tab w:val="left" w:pos="567"/>
        </w:tabs>
        <w:ind w:right="141"/>
        <w:jc w:val="both"/>
        <w:rPr>
          <w:u w:val="single"/>
          <w:lang w:eastAsia="en-US"/>
        </w:rPr>
      </w:pPr>
      <w:r w:rsidRPr="00931613">
        <w:rPr>
          <w:u w:val="single"/>
          <w:lang w:eastAsia="en-US"/>
        </w:rPr>
        <w:t>Movement in Reserves Statement (MiRS)</w:t>
      </w:r>
    </w:p>
    <w:p w:rsidR="00201C5D" w:rsidRPr="00931613" w:rsidRDefault="00201C5D" w:rsidP="00201C5D">
      <w:pPr>
        <w:rPr>
          <w:rFonts w:cs="Arial"/>
          <w:b/>
          <w:szCs w:val="22"/>
          <w:highlight w:val="yellow"/>
          <w:u w:val="single"/>
        </w:rPr>
      </w:pPr>
    </w:p>
    <w:p w:rsidR="00201C5D" w:rsidRDefault="00201C5D" w:rsidP="00201C5D">
      <w:pPr>
        <w:keepNext/>
        <w:numPr>
          <w:ilvl w:val="1"/>
          <w:numId w:val="8"/>
        </w:numPr>
        <w:ind w:hanging="436"/>
        <w:jc w:val="both"/>
        <w:outlineLvl w:val="0"/>
        <w:rPr>
          <w:rFonts w:cs="Arial"/>
          <w:szCs w:val="22"/>
        </w:rPr>
      </w:pPr>
      <w:r w:rsidRPr="00931613">
        <w:rPr>
          <w:rFonts w:cs="Arial"/>
          <w:szCs w:val="22"/>
        </w:rPr>
        <w:t>This statement shows the levels of reserves, and movements therein. These indicate the underlying financial strength of the Council.  This statement distinguishes usable from unusable reserves. “Usable” are available to fund expenditure or reduce local taxation. Unusable includes the Revaluation Reserve (holding unrealised gains in property values), and other reserves holding amounts arising from differences between the accounting basis used in compiling the Comprehensive Income and Expenditure Statement and the statutory basis prescribed for taxation purposes.  The statement starts by showing the surplus or deficit arising in the year on the Provision of Service. This is the true economic cost of providing the authority’s services (as detailed in the Comprehensive Income and Expenditure Statement). For the purposes of council tax setting however, a series of statutory adjustments are then made, these adjustments are shown in total below</w:t>
      </w:r>
      <w:r>
        <w:rPr>
          <w:rFonts w:cs="Arial"/>
          <w:szCs w:val="22"/>
        </w:rPr>
        <w:t xml:space="preserve"> and by directorate in the Expenditure and Funding Analysis</w:t>
      </w:r>
      <w:r w:rsidRPr="00931613">
        <w:rPr>
          <w:rFonts w:cs="Arial"/>
          <w:szCs w:val="22"/>
        </w:rPr>
        <w:t>.</w:t>
      </w:r>
      <w:r w:rsidR="00CB76DA" w:rsidRPr="00CB76DA">
        <w:rPr>
          <w:rFonts w:cs="Arial"/>
          <w:szCs w:val="22"/>
        </w:rPr>
        <w:t xml:space="preserve"> </w:t>
      </w:r>
      <w:r w:rsidR="00CB76DA">
        <w:rPr>
          <w:rFonts w:cs="Arial"/>
          <w:szCs w:val="22"/>
        </w:rPr>
        <w:t>Earmarked Reserves are now amalgamated with the General Fund Balance within the MiRS.</w:t>
      </w:r>
    </w:p>
    <w:p w:rsidR="00201C5D" w:rsidRDefault="00201C5D" w:rsidP="00201C5D">
      <w:pPr>
        <w:keepNext/>
        <w:ind w:left="720"/>
        <w:jc w:val="both"/>
        <w:outlineLvl w:val="0"/>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207"/>
        <w:gridCol w:w="1012"/>
        <w:gridCol w:w="869"/>
        <w:gridCol w:w="869"/>
        <w:gridCol w:w="901"/>
        <w:gridCol w:w="869"/>
        <w:gridCol w:w="901"/>
      </w:tblGrid>
      <w:tr w:rsidR="00201C5D" w:rsidRPr="00EC06E7" w:rsidTr="00201C5D">
        <w:trPr>
          <w:cantSplit/>
          <w:trHeight w:val="1134"/>
          <w:jc w:val="center"/>
        </w:trPr>
        <w:tc>
          <w:tcPr>
            <w:tcW w:w="0" w:type="auto"/>
            <w:tcBorders>
              <w:top w:val="single" w:sz="4" w:space="0" w:color="auto"/>
              <w:bottom w:val="nil"/>
              <w:right w:val="single" w:sz="4" w:space="0" w:color="auto"/>
            </w:tcBorders>
            <w:shd w:val="clear" w:color="auto" w:fill="BDD6EE" w:themeFill="accent1" w:themeFillTint="66"/>
          </w:tcPr>
          <w:p w:rsidR="00201C5D" w:rsidRPr="00EC06E7" w:rsidRDefault="00201C5D" w:rsidP="00081531">
            <w:pPr>
              <w:jc w:val="center"/>
              <w:rPr>
                <w:rFonts w:cs="Courier New"/>
                <w:sz w:val="20"/>
                <w:szCs w:val="22"/>
              </w:rPr>
            </w:pPr>
          </w:p>
        </w:tc>
        <w:tc>
          <w:tcPr>
            <w:tcW w:w="1012"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General Fund</w:t>
            </w:r>
          </w:p>
        </w:tc>
        <w:tc>
          <w:tcPr>
            <w:tcW w:w="869"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Capital Receipts Reserve</w:t>
            </w:r>
          </w:p>
        </w:tc>
        <w:tc>
          <w:tcPr>
            <w:tcW w:w="869"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Capital Grants Unapplied</w:t>
            </w:r>
          </w:p>
        </w:tc>
        <w:tc>
          <w:tcPr>
            <w:tcW w:w="901"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Total Usable Reserves</w:t>
            </w:r>
          </w:p>
        </w:tc>
        <w:tc>
          <w:tcPr>
            <w:tcW w:w="869"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Unusable Reserves</w:t>
            </w:r>
          </w:p>
        </w:tc>
        <w:tc>
          <w:tcPr>
            <w:tcW w:w="901" w:type="dxa"/>
            <w:tcBorders>
              <w:top w:val="single" w:sz="4" w:space="0" w:color="auto"/>
              <w:left w:val="single" w:sz="4" w:space="0" w:color="auto"/>
              <w:bottom w:val="nil"/>
            </w:tcBorders>
            <w:shd w:val="clear" w:color="auto" w:fill="BDD6EE" w:themeFill="accent1" w:themeFillTint="66"/>
            <w:textDirection w:val="btLr"/>
            <w:vAlign w:val="center"/>
          </w:tcPr>
          <w:p w:rsidR="00201C5D" w:rsidRPr="00EC06E7" w:rsidRDefault="00201C5D" w:rsidP="00081531">
            <w:pPr>
              <w:ind w:left="113" w:right="113"/>
              <w:rPr>
                <w:rFonts w:cs="Courier New"/>
                <w:b/>
                <w:sz w:val="18"/>
                <w:szCs w:val="22"/>
              </w:rPr>
            </w:pPr>
            <w:r w:rsidRPr="00EC06E7">
              <w:rPr>
                <w:rFonts w:cs="Courier New"/>
                <w:b/>
                <w:sz w:val="18"/>
                <w:szCs w:val="22"/>
              </w:rPr>
              <w:t>Total Reserves</w:t>
            </w:r>
          </w:p>
        </w:tc>
      </w:tr>
      <w:tr w:rsidR="00201C5D" w:rsidRPr="00EC06E7" w:rsidTr="00201C5D">
        <w:trPr>
          <w:jc w:val="center"/>
        </w:trPr>
        <w:tc>
          <w:tcPr>
            <w:tcW w:w="0" w:type="auto"/>
            <w:tcBorders>
              <w:top w:val="nil"/>
              <w:bottom w:val="single" w:sz="4" w:space="0" w:color="auto"/>
              <w:right w:val="single" w:sz="4" w:space="0" w:color="auto"/>
            </w:tcBorders>
            <w:shd w:val="clear" w:color="auto" w:fill="BDD6EE" w:themeFill="accent1" w:themeFillTint="66"/>
          </w:tcPr>
          <w:p w:rsidR="00201C5D" w:rsidRPr="00EC06E7" w:rsidRDefault="00201C5D" w:rsidP="00081531">
            <w:pPr>
              <w:rPr>
                <w:rFonts w:cs="Courier New"/>
                <w:b/>
                <w:sz w:val="20"/>
                <w:szCs w:val="22"/>
              </w:rPr>
            </w:pPr>
          </w:p>
        </w:tc>
        <w:tc>
          <w:tcPr>
            <w:tcW w:w="1012" w:type="dxa"/>
            <w:tcBorders>
              <w:top w:val="nil"/>
              <w:left w:val="single" w:sz="4" w:space="0" w:color="auto"/>
              <w:bottom w:val="single" w:sz="4" w:space="0" w:color="auto"/>
              <w:right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c>
          <w:tcPr>
            <w:tcW w:w="869" w:type="dxa"/>
            <w:tcBorders>
              <w:top w:val="nil"/>
              <w:left w:val="single" w:sz="4" w:space="0" w:color="auto"/>
              <w:bottom w:val="single" w:sz="4" w:space="0" w:color="auto"/>
              <w:right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c>
          <w:tcPr>
            <w:tcW w:w="869" w:type="dxa"/>
            <w:tcBorders>
              <w:top w:val="nil"/>
              <w:left w:val="single" w:sz="4" w:space="0" w:color="auto"/>
              <w:bottom w:val="single" w:sz="4" w:space="0" w:color="auto"/>
              <w:right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c>
          <w:tcPr>
            <w:tcW w:w="901" w:type="dxa"/>
            <w:tcBorders>
              <w:top w:val="nil"/>
              <w:left w:val="single" w:sz="4" w:space="0" w:color="auto"/>
              <w:bottom w:val="single" w:sz="4" w:space="0" w:color="auto"/>
              <w:right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c>
          <w:tcPr>
            <w:tcW w:w="869" w:type="dxa"/>
            <w:tcBorders>
              <w:top w:val="nil"/>
              <w:left w:val="single" w:sz="4" w:space="0" w:color="auto"/>
              <w:bottom w:val="single" w:sz="4" w:space="0" w:color="auto"/>
              <w:right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c>
          <w:tcPr>
            <w:tcW w:w="901" w:type="dxa"/>
            <w:tcBorders>
              <w:top w:val="nil"/>
              <w:left w:val="single" w:sz="4" w:space="0" w:color="auto"/>
              <w:bottom w:val="single" w:sz="4" w:space="0" w:color="auto"/>
            </w:tcBorders>
            <w:shd w:val="clear" w:color="auto" w:fill="BDD6EE" w:themeFill="accent1" w:themeFillTint="66"/>
            <w:vAlign w:val="bottom"/>
          </w:tcPr>
          <w:p w:rsidR="00201C5D" w:rsidRPr="00EC06E7" w:rsidRDefault="00201C5D" w:rsidP="00081531">
            <w:pPr>
              <w:jc w:val="center"/>
              <w:rPr>
                <w:rFonts w:cs="Arial"/>
                <w:b/>
                <w:sz w:val="20"/>
              </w:rPr>
            </w:pPr>
            <w:r w:rsidRPr="00EC06E7">
              <w:rPr>
                <w:rFonts w:cs="Arial"/>
                <w:b/>
                <w:sz w:val="20"/>
              </w:rPr>
              <w:t>£'000</w:t>
            </w:r>
          </w:p>
        </w:tc>
      </w:tr>
      <w:tr w:rsidR="00201C5D" w:rsidRPr="00EC06E7" w:rsidTr="00201C5D">
        <w:trPr>
          <w:trHeight w:val="567"/>
          <w:jc w:val="center"/>
        </w:trPr>
        <w:tc>
          <w:tcPr>
            <w:tcW w:w="0" w:type="auto"/>
            <w:tcBorders>
              <w:top w:val="single" w:sz="4" w:space="0" w:color="auto"/>
              <w:bottom w:val="single" w:sz="4" w:space="0" w:color="auto"/>
            </w:tcBorders>
            <w:vAlign w:val="center"/>
          </w:tcPr>
          <w:p w:rsidR="00201C5D" w:rsidRPr="00EC06E7" w:rsidRDefault="00201C5D" w:rsidP="00081531">
            <w:pPr>
              <w:rPr>
                <w:rFonts w:cs="Courier New"/>
                <w:b/>
                <w:sz w:val="18"/>
                <w:szCs w:val="22"/>
              </w:rPr>
            </w:pPr>
            <w:r>
              <w:rPr>
                <w:rFonts w:cs="Courier New"/>
                <w:b/>
                <w:sz w:val="18"/>
                <w:szCs w:val="22"/>
              </w:rPr>
              <w:t>Balance at 31 March 2016</w:t>
            </w:r>
          </w:p>
        </w:tc>
        <w:tc>
          <w:tcPr>
            <w:tcW w:w="1012"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(15,778)</w:t>
            </w:r>
          </w:p>
        </w:tc>
        <w:tc>
          <w:tcPr>
            <w:tcW w:w="869"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(2,089)</w:t>
            </w:r>
          </w:p>
        </w:tc>
        <w:tc>
          <w:tcPr>
            <w:tcW w:w="869"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(6,768)</w:t>
            </w:r>
          </w:p>
        </w:tc>
        <w:tc>
          <w:tcPr>
            <w:tcW w:w="901" w:type="dxa"/>
            <w:tcBorders>
              <w:top w:val="single" w:sz="4" w:space="0" w:color="auto"/>
              <w:bottom w:val="single" w:sz="4" w:space="0" w:color="auto"/>
            </w:tcBorders>
            <w:shd w:val="clear" w:color="auto" w:fill="D9D9D9" w:themeFill="background1" w:themeFillShade="D9"/>
            <w:vAlign w:val="center"/>
          </w:tcPr>
          <w:p w:rsidR="00201C5D" w:rsidRPr="00EC06E7" w:rsidRDefault="00201C5D" w:rsidP="00081531">
            <w:pPr>
              <w:jc w:val="right"/>
              <w:rPr>
                <w:rFonts w:cs="Arial"/>
                <w:b/>
                <w:sz w:val="18"/>
                <w:szCs w:val="18"/>
              </w:rPr>
            </w:pPr>
            <w:r w:rsidRPr="00EC06E7">
              <w:rPr>
                <w:rFonts w:cs="Arial"/>
                <w:b/>
                <w:sz w:val="18"/>
                <w:szCs w:val="18"/>
              </w:rPr>
              <w:t>(24,635)</w:t>
            </w:r>
          </w:p>
        </w:tc>
        <w:tc>
          <w:tcPr>
            <w:tcW w:w="869"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(3,736)</w:t>
            </w:r>
          </w:p>
        </w:tc>
        <w:tc>
          <w:tcPr>
            <w:tcW w:w="901" w:type="dxa"/>
            <w:tcBorders>
              <w:top w:val="single" w:sz="4" w:space="0" w:color="auto"/>
              <w:bottom w:val="single" w:sz="4" w:space="0" w:color="auto"/>
            </w:tcBorders>
            <w:shd w:val="clear" w:color="auto" w:fill="D9D9D9" w:themeFill="background1" w:themeFillShade="D9"/>
            <w:vAlign w:val="center"/>
          </w:tcPr>
          <w:p w:rsidR="00201C5D" w:rsidRPr="00EC06E7" w:rsidRDefault="00201C5D" w:rsidP="00081531">
            <w:pPr>
              <w:jc w:val="right"/>
              <w:rPr>
                <w:rFonts w:cs="Arial"/>
                <w:b/>
                <w:sz w:val="18"/>
                <w:szCs w:val="18"/>
              </w:rPr>
            </w:pPr>
            <w:r w:rsidRPr="00EC06E7">
              <w:rPr>
                <w:rFonts w:cs="Arial"/>
                <w:b/>
                <w:sz w:val="18"/>
                <w:szCs w:val="18"/>
              </w:rPr>
              <w:t>(28,371)</w:t>
            </w:r>
          </w:p>
        </w:tc>
      </w:tr>
      <w:tr w:rsidR="00201C5D" w:rsidRPr="00EC06E7" w:rsidTr="00201C5D">
        <w:trPr>
          <w:trHeight w:val="567"/>
          <w:jc w:val="center"/>
        </w:trPr>
        <w:tc>
          <w:tcPr>
            <w:tcW w:w="0" w:type="auto"/>
            <w:tcBorders>
              <w:top w:val="single" w:sz="4" w:space="0" w:color="auto"/>
            </w:tcBorders>
            <w:vAlign w:val="center"/>
          </w:tcPr>
          <w:p w:rsidR="00201C5D" w:rsidRPr="00EC06E7" w:rsidRDefault="00201C5D" w:rsidP="00081531">
            <w:pPr>
              <w:rPr>
                <w:rFonts w:cs="Courier New"/>
                <w:b/>
                <w:sz w:val="18"/>
                <w:szCs w:val="22"/>
                <w:u w:val="single"/>
              </w:rPr>
            </w:pPr>
            <w:r w:rsidRPr="00EC06E7">
              <w:rPr>
                <w:rFonts w:cs="Courier New"/>
                <w:b/>
                <w:sz w:val="18"/>
                <w:szCs w:val="22"/>
                <w:u w:val="single"/>
              </w:rPr>
              <w:t xml:space="preserve">Movements in </w:t>
            </w:r>
            <w:r>
              <w:rPr>
                <w:rFonts w:cs="Courier New"/>
                <w:b/>
                <w:sz w:val="18"/>
                <w:szCs w:val="22"/>
                <w:u w:val="single"/>
              </w:rPr>
              <w:t>2016/17</w:t>
            </w:r>
          </w:p>
        </w:tc>
        <w:tc>
          <w:tcPr>
            <w:tcW w:w="1012" w:type="dxa"/>
            <w:tcBorders>
              <w:top w:val="single" w:sz="4" w:space="0" w:color="auto"/>
            </w:tcBorders>
            <w:vAlign w:val="center"/>
          </w:tcPr>
          <w:p w:rsidR="00201C5D" w:rsidRPr="00EC06E7" w:rsidRDefault="00201C5D" w:rsidP="00081531">
            <w:pPr>
              <w:jc w:val="right"/>
              <w:rPr>
                <w:rFonts w:cs="Arial"/>
                <w:sz w:val="18"/>
                <w:szCs w:val="18"/>
              </w:rPr>
            </w:pPr>
          </w:p>
        </w:tc>
        <w:tc>
          <w:tcPr>
            <w:tcW w:w="869" w:type="dxa"/>
            <w:tcBorders>
              <w:top w:val="single" w:sz="4" w:space="0" w:color="auto"/>
            </w:tcBorders>
            <w:vAlign w:val="center"/>
          </w:tcPr>
          <w:p w:rsidR="00201C5D" w:rsidRPr="00EC06E7" w:rsidRDefault="00201C5D" w:rsidP="00081531">
            <w:pPr>
              <w:jc w:val="right"/>
              <w:rPr>
                <w:rFonts w:cs="Arial"/>
                <w:sz w:val="18"/>
                <w:szCs w:val="18"/>
              </w:rPr>
            </w:pPr>
          </w:p>
        </w:tc>
        <w:tc>
          <w:tcPr>
            <w:tcW w:w="869" w:type="dxa"/>
            <w:tcBorders>
              <w:top w:val="single" w:sz="4" w:space="0" w:color="auto"/>
            </w:tcBorders>
            <w:vAlign w:val="center"/>
          </w:tcPr>
          <w:p w:rsidR="00201C5D" w:rsidRPr="00EC06E7" w:rsidRDefault="00201C5D" w:rsidP="00081531">
            <w:pPr>
              <w:jc w:val="right"/>
              <w:rPr>
                <w:rFonts w:cs="Arial"/>
                <w:sz w:val="18"/>
                <w:szCs w:val="18"/>
              </w:rPr>
            </w:pPr>
          </w:p>
        </w:tc>
        <w:tc>
          <w:tcPr>
            <w:tcW w:w="901" w:type="dxa"/>
            <w:tcBorders>
              <w:top w:val="single" w:sz="4" w:space="0" w:color="auto"/>
            </w:tcBorders>
            <w:shd w:val="clear" w:color="auto" w:fill="DEEAF6" w:themeFill="accent1" w:themeFillTint="33"/>
            <w:vAlign w:val="center"/>
          </w:tcPr>
          <w:p w:rsidR="00201C5D" w:rsidRPr="00EC06E7" w:rsidRDefault="00201C5D" w:rsidP="00081531">
            <w:pPr>
              <w:jc w:val="right"/>
              <w:rPr>
                <w:rFonts w:cs="Arial"/>
                <w:sz w:val="18"/>
                <w:szCs w:val="18"/>
              </w:rPr>
            </w:pPr>
          </w:p>
        </w:tc>
        <w:tc>
          <w:tcPr>
            <w:tcW w:w="869" w:type="dxa"/>
            <w:tcBorders>
              <w:top w:val="single" w:sz="4" w:space="0" w:color="auto"/>
            </w:tcBorders>
            <w:vAlign w:val="center"/>
          </w:tcPr>
          <w:p w:rsidR="00201C5D" w:rsidRPr="00EC06E7" w:rsidRDefault="00201C5D" w:rsidP="00081531">
            <w:pPr>
              <w:jc w:val="right"/>
              <w:rPr>
                <w:rFonts w:cs="Arial"/>
                <w:sz w:val="18"/>
                <w:szCs w:val="18"/>
              </w:rPr>
            </w:pPr>
          </w:p>
        </w:tc>
        <w:tc>
          <w:tcPr>
            <w:tcW w:w="901" w:type="dxa"/>
            <w:tcBorders>
              <w:top w:val="single" w:sz="4" w:space="0" w:color="auto"/>
            </w:tcBorders>
            <w:shd w:val="clear" w:color="auto" w:fill="DEEAF6" w:themeFill="accent1" w:themeFillTint="33"/>
            <w:vAlign w:val="center"/>
          </w:tcPr>
          <w:p w:rsidR="00201C5D" w:rsidRPr="00EC06E7" w:rsidRDefault="00201C5D" w:rsidP="00081531">
            <w:pPr>
              <w:jc w:val="right"/>
              <w:rPr>
                <w:rFonts w:cs="Arial"/>
                <w:sz w:val="18"/>
                <w:szCs w:val="18"/>
              </w:rPr>
            </w:pPr>
          </w:p>
        </w:tc>
      </w:tr>
      <w:tr w:rsidR="00201C5D" w:rsidRPr="00EC06E7" w:rsidTr="00201C5D">
        <w:trPr>
          <w:trHeight w:val="567"/>
          <w:jc w:val="center"/>
        </w:trPr>
        <w:tc>
          <w:tcPr>
            <w:tcW w:w="0" w:type="auto"/>
            <w:vAlign w:val="center"/>
          </w:tcPr>
          <w:p w:rsidR="00201C5D" w:rsidRPr="00EC06E7" w:rsidRDefault="00201C5D" w:rsidP="00081531">
            <w:pPr>
              <w:rPr>
                <w:rFonts w:cs="Courier New"/>
                <w:sz w:val="18"/>
                <w:szCs w:val="22"/>
              </w:rPr>
            </w:pPr>
            <w:r w:rsidRPr="00EC06E7">
              <w:rPr>
                <w:rFonts w:cs="Courier New"/>
                <w:sz w:val="18"/>
                <w:szCs w:val="22"/>
              </w:rPr>
              <w:t>Total Comprehensive Income &amp; Expenditure</w:t>
            </w:r>
          </w:p>
        </w:tc>
        <w:tc>
          <w:tcPr>
            <w:tcW w:w="1012" w:type="dxa"/>
            <w:vAlign w:val="center"/>
          </w:tcPr>
          <w:p w:rsidR="00201C5D" w:rsidRPr="00EC06E7" w:rsidRDefault="00201C5D" w:rsidP="00081531">
            <w:pPr>
              <w:jc w:val="right"/>
              <w:rPr>
                <w:rFonts w:cs="Arial"/>
                <w:sz w:val="18"/>
                <w:szCs w:val="18"/>
              </w:rPr>
            </w:pPr>
            <w:r w:rsidRPr="00EC06E7">
              <w:rPr>
                <w:rFonts w:cs="Arial"/>
                <w:sz w:val="18"/>
                <w:szCs w:val="18"/>
              </w:rPr>
              <w:t>(1,289)</w:t>
            </w:r>
          </w:p>
        </w:tc>
        <w:tc>
          <w:tcPr>
            <w:tcW w:w="869" w:type="dxa"/>
            <w:vAlign w:val="center"/>
          </w:tcPr>
          <w:p w:rsidR="00201C5D" w:rsidRPr="00EC06E7" w:rsidRDefault="00201C5D" w:rsidP="00081531">
            <w:pPr>
              <w:jc w:val="right"/>
              <w:rPr>
                <w:rFonts w:cs="Arial"/>
                <w:sz w:val="18"/>
                <w:szCs w:val="18"/>
              </w:rPr>
            </w:pPr>
            <w:r w:rsidRPr="00EC06E7">
              <w:rPr>
                <w:rFonts w:cs="Arial"/>
                <w:sz w:val="18"/>
                <w:szCs w:val="18"/>
              </w:rPr>
              <w:t>0</w:t>
            </w:r>
          </w:p>
        </w:tc>
        <w:tc>
          <w:tcPr>
            <w:tcW w:w="869" w:type="dxa"/>
            <w:vAlign w:val="center"/>
          </w:tcPr>
          <w:p w:rsidR="00201C5D" w:rsidRPr="00EC06E7" w:rsidRDefault="00201C5D" w:rsidP="00081531">
            <w:pPr>
              <w:jc w:val="right"/>
              <w:rPr>
                <w:rFonts w:cs="Arial"/>
                <w:sz w:val="18"/>
                <w:szCs w:val="18"/>
              </w:rPr>
            </w:pPr>
            <w:r w:rsidRPr="00EC06E7">
              <w:rPr>
                <w:rFonts w:cs="Arial"/>
                <w:sz w:val="18"/>
                <w:szCs w:val="18"/>
              </w:rPr>
              <w:t>0</w:t>
            </w:r>
          </w:p>
        </w:tc>
        <w:tc>
          <w:tcPr>
            <w:tcW w:w="901" w:type="dxa"/>
            <w:shd w:val="clear" w:color="auto" w:fill="DEEAF6" w:themeFill="accent1" w:themeFillTint="33"/>
            <w:vAlign w:val="center"/>
          </w:tcPr>
          <w:p w:rsidR="00201C5D" w:rsidRPr="00EC06E7" w:rsidRDefault="00201C5D" w:rsidP="00081531">
            <w:pPr>
              <w:jc w:val="right"/>
              <w:rPr>
                <w:rFonts w:cs="Arial"/>
                <w:sz w:val="18"/>
                <w:szCs w:val="18"/>
              </w:rPr>
            </w:pPr>
            <w:r w:rsidRPr="00EC06E7">
              <w:rPr>
                <w:rFonts w:cs="Arial"/>
                <w:sz w:val="18"/>
                <w:szCs w:val="18"/>
              </w:rPr>
              <w:t>(1,289)</w:t>
            </w:r>
          </w:p>
        </w:tc>
        <w:tc>
          <w:tcPr>
            <w:tcW w:w="869" w:type="dxa"/>
            <w:vAlign w:val="center"/>
          </w:tcPr>
          <w:p w:rsidR="00201C5D" w:rsidRPr="00EC06E7" w:rsidRDefault="00201C5D" w:rsidP="00081531">
            <w:pPr>
              <w:jc w:val="right"/>
              <w:rPr>
                <w:rFonts w:cs="Arial"/>
                <w:sz w:val="18"/>
                <w:szCs w:val="18"/>
              </w:rPr>
            </w:pPr>
            <w:r w:rsidRPr="00EC06E7">
              <w:rPr>
                <w:rFonts w:cs="Arial"/>
                <w:sz w:val="18"/>
                <w:szCs w:val="18"/>
              </w:rPr>
              <w:t>4,875</w:t>
            </w:r>
          </w:p>
        </w:tc>
        <w:tc>
          <w:tcPr>
            <w:tcW w:w="901" w:type="dxa"/>
            <w:shd w:val="clear" w:color="auto" w:fill="DEEAF6" w:themeFill="accent1" w:themeFillTint="33"/>
            <w:vAlign w:val="center"/>
          </w:tcPr>
          <w:p w:rsidR="00201C5D" w:rsidRPr="00EC06E7" w:rsidRDefault="00201C5D" w:rsidP="00081531">
            <w:pPr>
              <w:jc w:val="right"/>
              <w:rPr>
                <w:rFonts w:cs="Arial"/>
                <w:sz w:val="18"/>
                <w:szCs w:val="18"/>
              </w:rPr>
            </w:pPr>
            <w:r w:rsidRPr="00EC06E7">
              <w:rPr>
                <w:rFonts w:cs="Arial"/>
                <w:sz w:val="18"/>
                <w:szCs w:val="18"/>
              </w:rPr>
              <w:t>3,586</w:t>
            </w:r>
          </w:p>
        </w:tc>
      </w:tr>
      <w:tr w:rsidR="00201C5D" w:rsidRPr="00EC06E7" w:rsidTr="00201C5D">
        <w:trPr>
          <w:trHeight w:val="567"/>
          <w:jc w:val="center"/>
        </w:trPr>
        <w:tc>
          <w:tcPr>
            <w:tcW w:w="0" w:type="auto"/>
            <w:vAlign w:val="center"/>
          </w:tcPr>
          <w:p w:rsidR="00201C5D" w:rsidRPr="00EC06E7" w:rsidRDefault="00201C5D" w:rsidP="00201C5D">
            <w:pPr>
              <w:rPr>
                <w:rFonts w:cs="Courier New"/>
                <w:sz w:val="18"/>
                <w:szCs w:val="22"/>
              </w:rPr>
            </w:pPr>
            <w:r w:rsidRPr="00EC06E7">
              <w:rPr>
                <w:rFonts w:cs="Courier New"/>
                <w:sz w:val="18"/>
                <w:szCs w:val="22"/>
              </w:rPr>
              <w:t>Adjustments between account</w:t>
            </w:r>
            <w:r>
              <w:rPr>
                <w:rFonts w:cs="Courier New"/>
                <w:sz w:val="18"/>
                <w:szCs w:val="22"/>
              </w:rPr>
              <w:t>ing basis &amp; funding basis</w:t>
            </w:r>
          </w:p>
        </w:tc>
        <w:tc>
          <w:tcPr>
            <w:tcW w:w="1012" w:type="dxa"/>
            <w:vAlign w:val="center"/>
          </w:tcPr>
          <w:p w:rsidR="00201C5D" w:rsidRPr="00EC06E7" w:rsidRDefault="00201C5D" w:rsidP="00081531">
            <w:pPr>
              <w:jc w:val="right"/>
              <w:rPr>
                <w:rFonts w:cs="Arial"/>
                <w:sz w:val="18"/>
                <w:szCs w:val="18"/>
              </w:rPr>
            </w:pPr>
            <w:r w:rsidRPr="00EC06E7">
              <w:rPr>
                <w:rFonts w:cs="Arial"/>
                <w:sz w:val="18"/>
                <w:szCs w:val="18"/>
              </w:rPr>
              <w:t>(1,526)</w:t>
            </w:r>
          </w:p>
        </w:tc>
        <w:tc>
          <w:tcPr>
            <w:tcW w:w="869" w:type="dxa"/>
            <w:vAlign w:val="center"/>
          </w:tcPr>
          <w:p w:rsidR="00201C5D" w:rsidRPr="00EC06E7" w:rsidRDefault="00201C5D" w:rsidP="00081531">
            <w:pPr>
              <w:jc w:val="right"/>
              <w:rPr>
                <w:rFonts w:cs="Arial"/>
                <w:sz w:val="18"/>
                <w:szCs w:val="18"/>
              </w:rPr>
            </w:pPr>
            <w:r w:rsidRPr="00EC06E7">
              <w:rPr>
                <w:rFonts w:cs="Arial"/>
                <w:sz w:val="18"/>
                <w:szCs w:val="18"/>
              </w:rPr>
              <w:t>(17)</w:t>
            </w:r>
          </w:p>
        </w:tc>
        <w:tc>
          <w:tcPr>
            <w:tcW w:w="869" w:type="dxa"/>
            <w:vAlign w:val="center"/>
          </w:tcPr>
          <w:p w:rsidR="00201C5D" w:rsidRPr="00EC06E7" w:rsidRDefault="00201C5D" w:rsidP="00081531">
            <w:pPr>
              <w:jc w:val="right"/>
              <w:rPr>
                <w:rFonts w:cs="Arial"/>
                <w:sz w:val="18"/>
                <w:szCs w:val="18"/>
              </w:rPr>
            </w:pPr>
            <w:r w:rsidRPr="00EC06E7">
              <w:rPr>
                <w:rFonts w:cs="Arial"/>
                <w:sz w:val="18"/>
                <w:szCs w:val="18"/>
              </w:rPr>
              <w:t>317</w:t>
            </w:r>
          </w:p>
        </w:tc>
        <w:tc>
          <w:tcPr>
            <w:tcW w:w="901" w:type="dxa"/>
            <w:shd w:val="clear" w:color="auto" w:fill="DEEAF6" w:themeFill="accent1" w:themeFillTint="33"/>
            <w:vAlign w:val="center"/>
          </w:tcPr>
          <w:p w:rsidR="00201C5D" w:rsidRPr="00EC06E7" w:rsidRDefault="00201C5D" w:rsidP="00081531">
            <w:pPr>
              <w:jc w:val="right"/>
              <w:rPr>
                <w:rFonts w:cs="Arial"/>
                <w:sz w:val="18"/>
                <w:szCs w:val="18"/>
              </w:rPr>
            </w:pPr>
            <w:r w:rsidRPr="00EC06E7">
              <w:rPr>
                <w:rFonts w:cs="Arial"/>
                <w:sz w:val="18"/>
                <w:szCs w:val="18"/>
              </w:rPr>
              <w:t>(1,226)</w:t>
            </w:r>
          </w:p>
        </w:tc>
        <w:tc>
          <w:tcPr>
            <w:tcW w:w="869" w:type="dxa"/>
            <w:vAlign w:val="center"/>
          </w:tcPr>
          <w:p w:rsidR="00201C5D" w:rsidRPr="00EC06E7" w:rsidRDefault="00201C5D" w:rsidP="00081531">
            <w:pPr>
              <w:jc w:val="right"/>
              <w:rPr>
                <w:rFonts w:cs="Arial"/>
                <w:sz w:val="18"/>
                <w:szCs w:val="18"/>
              </w:rPr>
            </w:pPr>
            <w:r w:rsidRPr="00EC06E7">
              <w:rPr>
                <w:rFonts w:cs="Arial"/>
                <w:sz w:val="18"/>
                <w:szCs w:val="18"/>
              </w:rPr>
              <w:t>1,226</w:t>
            </w:r>
          </w:p>
        </w:tc>
        <w:tc>
          <w:tcPr>
            <w:tcW w:w="901" w:type="dxa"/>
            <w:shd w:val="clear" w:color="auto" w:fill="DEEAF6" w:themeFill="accent1" w:themeFillTint="33"/>
            <w:vAlign w:val="center"/>
          </w:tcPr>
          <w:p w:rsidR="00201C5D" w:rsidRPr="00EC06E7" w:rsidRDefault="00201C5D" w:rsidP="00081531">
            <w:pPr>
              <w:jc w:val="right"/>
              <w:rPr>
                <w:rFonts w:cs="Arial"/>
                <w:sz w:val="18"/>
                <w:szCs w:val="18"/>
              </w:rPr>
            </w:pPr>
            <w:r w:rsidRPr="00EC06E7">
              <w:rPr>
                <w:rFonts w:cs="Arial"/>
                <w:sz w:val="18"/>
                <w:szCs w:val="18"/>
              </w:rPr>
              <w:t>0</w:t>
            </w:r>
          </w:p>
        </w:tc>
      </w:tr>
      <w:tr w:rsidR="00201C5D" w:rsidRPr="00EC06E7" w:rsidTr="00201C5D">
        <w:trPr>
          <w:trHeight w:val="567"/>
          <w:jc w:val="center"/>
        </w:trPr>
        <w:tc>
          <w:tcPr>
            <w:tcW w:w="0" w:type="auto"/>
            <w:tcBorders>
              <w:bottom w:val="single" w:sz="4" w:space="0" w:color="auto"/>
            </w:tcBorders>
            <w:vAlign w:val="center"/>
          </w:tcPr>
          <w:p w:rsidR="00201C5D" w:rsidRPr="00EC06E7" w:rsidRDefault="00201C5D" w:rsidP="00081531">
            <w:pPr>
              <w:rPr>
                <w:rFonts w:cs="Courier New"/>
                <w:b/>
                <w:sz w:val="18"/>
                <w:szCs w:val="22"/>
              </w:rPr>
            </w:pPr>
            <w:r w:rsidRPr="00EC06E7">
              <w:rPr>
                <w:rFonts w:cs="Courier New"/>
                <w:b/>
                <w:sz w:val="18"/>
                <w:szCs w:val="22"/>
              </w:rPr>
              <w:t>(Increase) / Decrease in year</w:t>
            </w:r>
          </w:p>
        </w:tc>
        <w:tc>
          <w:tcPr>
            <w:tcW w:w="1012" w:type="dxa"/>
            <w:tcBorders>
              <w:bottom w:val="single" w:sz="4" w:space="0" w:color="auto"/>
            </w:tcBorders>
            <w:vAlign w:val="center"/>
          </w:tcPr>
          <w:p w:rsidR="00201C5D" w:rsidRPr="00EC06E7" w:rsidRDefault="00201C5D" w:rsidP="00081531">
            <w:pPr>
              <w:jc w:val="right"/>
              <w:rPr>
                <w:rFonts w:cs="Arial"/>
                <w:b/>
                <w:sz w:val="18"/>
                <w:szCs w:val="18"/>
              </w:rPr>
            </w:pPr>
            <w:r w:rsidRPr="00EC06E7">
              <w:rPr>
                <w:rFonts w:cs="Arial"/>
                <w:b/>
                <w:sz w:val="18"/>
                <w:szCs w:val="18"/>
              </w:rPr>
              <w:t>(2,815)</w:t>
            </w:r>
          </w:p>
        </w:tc>
        <w:tc>
          <w:tcPr>
            <w:tcW w:w="869" w:type="dxa"/>
            <w:tcBorders>
              <w:bottom w:val="single" w:sz="4" w:space="0" w:color="auto"/>
            </w:tcBorders>
            <w:vAlign w:val="center"/>
          </w:tcPr>
          <w:p w:rsidR="00201C5D" w:rsidRPr="00EC06E7" w:rsidRDefault="00201C5D" w:rsidP="00081531">
            <w:pPr>
              <w:jc w:val="right"/>
              <w:rPr>
                <w:rFonts w:cs="Arial"/>
                <w:b/>
                <w:sz w:val="18"/>
                <w:szCs w:val="18"/>
              </w:rPr>
            </w:pPr>
            <w:r w:rsidRPr="00EC06E7">
              <w:rPr>
                <w:rFonts w:cs="Arial"/>
                <w:b/>
                <w:sz w:val="18"/>
                <w:szCs w:val="18"/>
              </w:rPr>
              <w:t>(17)</w:t>
            </w:r>
          </w:p>
        </w:tc>
        <w:tc>
          <w:tcPr>
            <w:tcW w:w="869" w:type="dxa"/>
            <w:tcBorders>
              <w:bottom w:val="single" w:sz="4" w:space="0" w:color="auto"/>
            </w:tcBorders>
            <w:vAlign w:val="center"/>
          </w:tcPr>
          <w:p w:rsidR="00201C5D" w:rsidRPr="00EC06E7" w:rsidRDefault="00201C5D" w:rsidP="00081531">
            <w:pPr>
              <w:jc w:val="right"/>
              <w:rPr>
                <w:rFonts w:cs="Arial"/>
                <w:b/>
                <w:sz w:val="18"/>
                <w:szCs w:val="18"/>
              </w:rPr>
            </w:pPr>
            <w:r w:rsidRPr="00EC06E7">
              <w:rPr>
                <w:rFonts w:cs="Arial"/>
                <w:b/>
                <w:sz w:val="18"/>
                <w:szCs w:val="18"/>
              </w:rPr>
              <w:t>317</w:t>
            </w:r>
          </w:p>
        </w:tc>
        <w:tc>
          <w:tcPr>
            <w:tcW w:w="901" w:type="dxa"/>
            <w:tcBorders>
              <w:bottom w:val="single" w:sz="4" w:space="0" w:color="auto"/>
            </w:tcBorders>
            <w:shd w:val="clear" w:color="auto" w:fill="DEEAF6" w:themeFill="accent1" w:themeFillTint="33"/>
            <w:vAlign w:val="center"/>
          </w:tcPr>
          <w:p w:rsidR="00201C5D" w:rsidRPr="00EC06E7" w:rsidRDefault="00201C5D" w:rsidP="00081531">
            <w:pPr>
              <w:jc w:val="right"/>
              <w:rPr>
                <w:rFonts w:cs="Arial"/>
                <w:b/>
                <w:sz w:val="18"/>
                <w:szCs w:val="18"/>
              </w:rPr>
            </w:pPr>
            <w:r w:rsidRPr="00EC06E7">
              <w:rPr>
                <w:rFonts w:cs="Arial"/>
                <w:b/>
                <w:sz w:val="18"/>
                <w:szCs w:val="18"/>
              </w:rPr>
              <w:t>(2,515)</w:t>
            </w:r>
          </w:p>
        </w:tc>
        <w:tc>
          <w:tcPr>
            <w:tcW w:w="869" w:type="dxa"/>
            <w:tcBorders>
              <w:bottom w:val="single" w:sz="4" w:space="0" w:color="auto"/>
            </w:tcBorders>
            <w:vAlign w:val="center"/>
          </w:tcPr>
          <w:p w:rsidR="00201C5D" w:rsidRPr="00EC06E7" w:rsidRDefault="00201C5D" w:rsidP="00081531">
            <w:pPr>
              <w:jc w:val="right"/>
              <w:rPr>
                <w:rFonts w:cs="Arial"/>
                <w:b/>
                <w:sz w:val="18"/>
                <w:szCs w:val="18"/>
              </w:rPr>
            </w:pPr>
            <w:r w:rsidRPr="00EC06E7">
              <w:rPr>
                <w:rFonts w:cs="Arial"/>
                <w:b/>
                <w:sz w:val="18"/>
                <w:szCs w:val="18"/>
              </w:rPr>
              <w:t>6,101</w:t>
            </w:r>
          </w:p>
        </w:tc>
        <w:tc>
          <w:tcPr>
            <w:tcW w:w="901" w:type="dxa"/>
            <w:tcBorders>
              <w:bottom w:val="single" w:sz="4" w:space="0" w:color="auto"/>
            </w:tcBorders>
            <w:shd w:val="clear" w:color="auto" w:fill="DEEAF6" w:themeFill="accent1" w:themeFillTint="33"/>
            <w:vAlign w:val="center"/>
          </w:tcPr>
          <w:p w:rsidR="00201C5D" w:rsidRPr="00EC06E7" w:rsidRDefault="00201C5D" w:rsidP="00081531">
            <w:pPr>
              <w:jc w:val="right"/>
              <w:rPr>
                <w:rFonts w:cs="Arial"/>
                <w:b/>
                <w:sz w:val="18"/>
                <w:szCs w:val="18"/>
              </w:rPr>
            </w:pPr>
            <w:r w:rsidRPr="00EC06E7">
              <w:rPr>
                <w:rFonts w:cs="Arial"/>
                <w:b/>
                <w:sz w:val="18"/>
                <w:szCs w:val="18"/>
              </w:rPr>
              <w:t>3,586</w:t>
            </w:r>
          </w:p>
        </w:tc>
      </w:tr>
      <w:tr w:rsidR="00201C5D" w:rsidRPr="00EC06E7" w:rsidTr="00201C5D">
        <w:trPr>
          <w:trHeight w:val="567"/>
          <w:jc w:val="center"/>
        </w:trPr>
        <w:tc>
          <w:tcPr>
            <w:tcW w:w="0" w:type="auto"/>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rPr>
                <w:rFonts w:cs="Courier New"/>
                <w:b/>
                <w:sz w:val="18"/>
                <w:szCs w:val="22"/>
              </w:rPr>
            </w:pPr>
            <w:r w:rsidRPr="00EC06E7">
              <w:rPr>
                <w:rFonts w:cs="Courier New"/>
                <w:b/>
                <w:sz w:val="18"/>
                <w:szCs w:val="22"/>
              </w:rPr>
              <w:t xml:space="preserve">Balance at </w:t>
            </w:r>
            <w:r>
              <w:rPr>
                <w:rFonts w:cs="Courier New"/>
                <w:b/>
                <w:sz w:val="18"/>
                <w:szCs w:val="22"/>
              </w:rPr>
              <w:t>31 March 2017</w:t>
            </w:r>
          </w:p>
        </w:tc>
        <w:tc>
          <w:tcPr>
            <w:tcW w:w="1012"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(18,593)</w:t>
            </w:r>
          </w:p>
        </w:tc>
        <w:tc>
          <w:tcPr>
            <w:tcW w:w="869"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(2,106)</w:t>
            </w:r>
          </w:p>
        </w:tc>
        <w:tc>
          <w:tcPr>
            <w:tcW w:w="869"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(6,451)</w:t>
            </w:r>
          </w:p>
        </w:tc>
        <w:tc>
          <w:tcPr>
            <w:tcW w:w="901" w:type="dxa"/>
            <w:tcBorders>
              <w:top w:val="single" w:sz="4" w:space="0" w:color="auto"/>
              <w:bottom w:val="single" w:sz="4" w:space="0" w:color="auto"/>
            </w:tcBorders>
            <w:shd w:val="clear" w:color="auto" w:fill="D9D9D9" w:themeFill="background1" w:themeFillShade="D9"/>
            <w:vAlign w:val="center"/>
          </w:tcPr>
          <w:p w:rsidR="00201C5D" w:rsidRPr="00EC06E7" w:rsidRDefault="00201C5D" w:rsidP="00081531">
            <w:pPr>
              <w:jc w:val="right"/>
              <w:rPr>
                <w:rFonts w:cs="Arial"/>
                <w:b/>
                <w:sz w:val="18"/>
                <w:szCs w:val="18"/>
              </w:rPr>
            </w:pPr>
            <w:r w:rsidRPr="00EC06E7">
              <w:rPr>
                <w:rFonts w:cs="Arial"/>
                <w:b/>
                <w:sz w:val="18"/>
                <w:szCs w:val="18"/>
              </w:rPr>
              <w:t>(27,150)</w:t>
            </w:r>
          </w:p>
        </w:tc>
        <w:tc>
          <w:tcPr>
            <w:tcW w:w="869"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2,365</w:t>
            </w:r>
          </w:p>
        </w:tc>
        <w:tc>
          <w:tcPr>
            <w:tcW w:w="901" w:type="dxa"/>
            <w:tcBorders>
              <w:top w:val="single" w:sz="4" w:space="0" w:color="auto"/>
              <w:bottom w:val="single" w:sz="4" w:space="0" w:color="auto"/>
            </w:tcBorders>
            <w:shd w:val="clear" w:color="auto" w:fill="D9D9D9" w:themeFill="background1" w:themeFillShade="D9"/>
            <w:vAlign w:val="center"/>
          </w:tcPr>
          <w:p w:rsidR="00201C5D" w:rsidRPr="00EC06E7" w:rsidRDefault="00201C5D" w:rsidP="00081531">
            <w:pPr>
              <w:jc w:val="right"/>
              <w:rPr>
                <w:rFonts w:cs="Arial"/>
                <w:b/>
                <w:sz w:val="18"/>
                <w:szCs w:val="18"/>
              </w:rPr>
            </w:pPr>
            <w:r w:rsidRPr="00EC06E7">
              <w:rPr>
                <w:rFonts w:cs="Arial"/>
                <w:b/>
                <w:sz w:val="18"/>
                <w:szCs w:val="18"/>
              </w:rPr>
              <w:t>(24,785)</w:t>
            </w:r>
          </w:p>
        </w:tc>
      </w:tr>
      <w:tr w:rsidR="00201C5D" w:rsidRPr="00EC06E7" w:rsidTr="00201C5D">
        <w:trPr>
          <w:trHeight w:val="567"/>
          <w:jc w:val="center"/>
        </w:trPr>
        <w:tc>
          <w:tcPr>
            <w:tcW w:w="0" w:type="auto"/>
            <w:tcBorders>
              <w:top w:val="single" w:sz="4" w:space="0" w:color="auto"/>
            </w:tcBorders>
            <w:vAlign w:val="center"/>
          </w:tcPr>
          <w:p w:rsidR="00201C5D" w:rsidRPr="00EC06E7" w:rsidRDefault="00201C5D" w:rsidP="00081531">
            <w:pPr>
              <w:rPr>
                <w:rFonts w:cs="Courier New"/>
                <w:b/>
                <w:sz w:val="18"/>
                <w:szCs w:val="22"/>
                <w:u w:val="single"/>
              </w:rPr>
            </w:pPr>
            <w:r w:rsidRPr="00EC06E7">
              <w:rPr>
                <w:rFonts w:cs="Courier New"/>
                <w:b/>
                <w:sz w:val="18"/>
                <w:szCs w:val="22"/>
                <w:u w:val="single"/>
              </w:rPr>
              <w:t xml:space="preserve">Movements in </w:t>
            </w:r>
            <w:r>
              <w:rPr>
                <w:rFonts w:cs="Courier New"/>
                <w:b/>
                <w:sz w:val="18"/>
                <w:szCs w:val="22"/>
                <w:u w:val="single"/>
              </w:rPr>
              <w:t>2017/18</w:t>
            </w:r>
          </w:p>
        </w:tc>
        <w:tc>
          <w:tcPr>
            <w:tcW w:w="1012" w:type="dxa"/>
            <w:tcBorders>
              <w:top w:val="single" w:sz="4" w:space="0" w:color="auto"/>
            </w:tcBorders>
            <w:vAlign w:val="center"/>
          </w:tcPr>
          <w:p w:rsidR="00201C5D" w:rsidRPr="00EC06E7" w:rsidRDefault="00201C5D" w:rsidP="00081531">
            <w:pPr>
              <w:jc w:val="right"/>
              <w:rPr>
                <w:rFonts w:cs="Arial"/>
                <w:sz w:val="18"/>
                <w:szCs w:val="18"/>
              </w:rPr>
            </w:pPr>
          </w:p>
        </w:tc>
        <w:tc>
          <w:tcPr>
            <w:tcW w:w="869" w:type="dxa"/>
            <w:tcBorders>
              <w:top w:val="single" w:sz="4" w:space="0" w:color="auto"/>
            </w:tcBorders>
            <w:vAlign w:val="center"/>
          </w:tcPr>
          <w:p w:rsidR="00201C5D" w:rsidRPr="00EC06E7" w:rsidRDefault="00201C5D" w:rsidP="00081531">
            <w:pPr>
              <w:jc w:val="right"/>
              <w:rPr>
                <w:rFonts w:cs="Arial"/>
                <w:sz w:val="18"/>
                <w:szCs w:val="18"/>
              </w:rPr>
            </w:pPr>
          </w:p>
        </w:tc>
        <w:tc>
          <w:tcPr>
            <w:tcW w:w="869" w:type="dxa"/>
            <w:tcBorders>
              <w:top w:val="single" w:sz="4" w:space="0" w:color="auto"/>
            </w:tcBorders>
            <w:vAlign w:val="center"/>
          </w:tcPr>
          <w:p w:rsidR="00201C5D" w:rsidRPr="00EC06E7" w:rsidRDefault="00201C5D" w:rsidP="00081531">
            <w:pPr>
              <w:jc w:val="right"/>
              <w:rPr>
                <w:rFonts w:cs="Arial"/>
                <w:sz w:val="18"/>
                <w:szCs w:val="18"/>
              </w:rPr>
            </w:pPr>
          </w:p>
        </w:tc>
        <w:tc>
          <w:tcPr>
            <w:tcW w:w="901" w:type="dxa"/>
            <w:tcBorders>
              <w:top w:val="single" w:sz="4" w:space="0" w:color="auto"/>
            </w:tcBorders>
            <w:shd w:val="clear" w:color="auto" w:fill="DEEAF6" w:themeFill="accent1" w:themeFillTint="33"/>
            <w:vAlign w:val="center"/>
          </w:tcPr>
          <w:p w:rsidR="00201C5D" w:rsidRPr="00EC06E7" w:rsidRDefault="00201C5D" w:rsidP="00081531">
            <w:pPr>
              <w:jc w:val="right"/>
              <w:rPr>
                <w:rFonts w:cs="Arial"/>
                <w:sz w:val="18"/>
                <w:szCs w:val="18"/>
              </w:rPr>
            </w:pPr>
          </w:p>
        </w:tc>
        <w:tc>
          <w:tcPr>
            <w:tcW w:w="869" w:type="dxa"/>
            <w:tcBorders>
              <w:top w:val="single" w:sz="4" w:space="0" w:color="auto"/>
            </w:tcBorders>
            <w:vAlign w:val="center"/>
          </w:tcPr>
          <w:p w:rsidR="00201C5D" w:rsidRPr="00EC06E7" w:rsidRDefault="00201C5D" w:rsidP="00081531">
            <w:pPr>
              <w:jc w:val="right"/>
              <w:rPr>
                <w:rFonts w:cs="Arial"/>
                <w:sz w:val="18"/>
                <w:szCs w:val="18"/>
              </w:rPr>
            </w:pPr>
          </w:p>
        </w:tc>
        <w:tc>
          <w:tcPr>
            <w:tcW w:w="901" w:type="dxa"/>
            <w:tcBorders>
              <w:top w:val="single" w:sz="4" w:space="0" w:color="auto"/>
            </w:tcBorders>
            <w:shd w:val="clear" w:color="auto" w:fill="DEEAF6" w:themeFill="accent1" w:themeFillTint="33"/>
            <w:vAlign w:val="center"/>
          </w:tcPr>
          <w:p w:rsidR="00201C5D" w:rsidRPr="00EC06E7" w:rsidRDefault="00201C5D" w:rsidP="00081531">
            <w:pPr>
              <w:jc w:val="right"/>
              <w:rPr>
                <w:rFonts w:cs="Arial"/>
                <w:sz w:val="18"/>
                <w:szCs w:val="18"/>
              </w:rPr>
            </w:pPr>
          </w:p>
        </w:tc>
      </w:tr>
      <w:tr w:rsidR="00201C5D" w:rsidRPr="00EC06E7" w:rsidTr="00201C5D">
        <w:trPr>
          <w:trHeight w:val="567"/>
          <w:jc w:val="center"/>
        </w:trPr>
        <w:tc>
          <w:tcPr>
            <w:tcW w:w="0" w:type="auto"/>
            <w:vAlign w:val="center"/>
          </w:tcPr>
          <w:p w:rsidR="00201C5D" w:rsidRPr="00EC06E7" w:rsidRDefault="00201C5D" w:rsidP="00081531">
            <w:pPr>
              <w:rPr>
                <w:rFonts w:cs="Courier New"/>
                <w:sz w:val="18"/>
                <w:szCs w:val="22"/>
              </w:rPr>
            </w:pPr>
            <w:r w:rsidRPr="00EC06E7">
              <w:rPr>
                <w:rFonts w:cs="Courier New"/>
                <w:sz w:val="18"/>
                <w:szCs w:val="22"/>
              </w:rPr>
              <w:t>Total Comprehensive Income &amp; Expenditure</w:t>
            </w:r>
          </w:p>
        </w:tc>
        <w:tc>
          <w:tcPr>
            <w:tcW w:w="1012" w:type="dxa"/>
            <w:vAlign w:val="center"/>
          </w:tcPr>
          <w:p w:rsidR="00201C5D" w:rsidRPr="00EC06E7" w:rsidRDefault="00201C5D" w:rsidP="00081531">
            <w:pPr>
              <w:jc w:val="right"/>
              <w:rPr>
                <w:rFonts w:cs="Arial"/>
                <w:sz w:val="18"/>
                <w:szCs w:val="18"/>
              </w:rPr>
            </w:pPr>
            <w:r>
              <w:rPr>
                <w:rFonts w:cs="Arial"/>
                <w:sz w:val="18"/>
                <w:szCs w:val="18"/>
              </w:rPr>
              <w:t>(1,321</w:t>
            </w:r>
            <w:r w:rsidRPr="00EC06E7">
              <w:rPr>
                <w:rFonts w:cs="Arial"/>
                <w:sz w:val="18"/>
                <w:szCs w:val="18"/>
              </w:rPr>
              <w:t>)</w:t>
            </w:r>
          </w:p>
        </w:tc>
        <w:tc>
          <w:tcPr>
            <w:tcW w:w="869" w:type="dxa"/>
            <w:vAlign w:val="center"/>
          </w:tcPr>
          <w:p w:rsidR="00201C5D" w:rsidRPr="00EC06E7" w:rsidRDefault="00201C5D" w:rsidP="00081531">
            <w:pPr>
              <w:jc w:val="right"/>
              <w:rPr>
                <w:rFonts w:cs="Arial"/>
                <w:sz w:val="18"/>
                <w:szCs w:val="18"/>
              </w:rPr>
            </w:pPr>
            <w:r w:rsidRPr="00EC06E7">
              <w:rPr>
                <w:rFonts w:cs="Arial"/>
                <w:sz w:val="18"/>
                <w:szCs w:val="18"/>
              </w:rPr>
              <w:t>0</w:t>
            </w:r>
          </w:p>
        </w:tc>
        <w:tc>
          <w:tcPr>
            <w:tcW w:w="869" w:type="dxa"/>
            <w:vAlign w:val="center"/>
          </w:tcPr>
          <w:p w:rsidR="00201C5D" w:rsidRPr="00EC06E7" w:rsidRDefault="00201C5D" w:rsidP="00081531">
            <w:pPr>
              <w:jc w:val="right"/>
              <w:rPr>
                <w:rFonts w:cs="Arial"/>
                <w:sz w:val="18"/>
                <w:szCs w:val="18"/>
              </w:rPr>
            </w:pPr>
            <w:r w:rsidRPr="00EC06E7">
              <w:rPr>
                <w:rFonts w:cs="Arial"/>
                <w:sz w:val="18"/>
                <w:szCs w:val="18"/>
              </w:rPr>
              <w:t>0</w:t>
            </w:r>
          </w:p>
        </w:tc>
        <w:tc>
          <w:tcPr>
            <w:tcW w:w="901" w:type="dxa"/>
            <w:shd w:val="clear" w:color="auto" w:fill="DEEAF6" w:themeFill="accent1" w:themeFillTint="33"/>
            <w:vAlign w:val="center"/>
          </w:tcPr>
          <w:p w:rsidR="00201C5D" w:rsidRPr="00EC06E7" w:rsidRDefault="00201C5D" w:rsidP="00081531">
            <w:pPr>
              <w:jc w:val="right"/>
              <w:rPr>
                <w:rFonts w:cs="Arial"/>
                <w:sz w:val="18"/>
                <w:szCs w:val="18"/>
              </w:rPr>
            </w:pPr>
            <w:r w:rsidRPr="00EC06E7">
              <w:rPr>
                <w:rFonts w:cs="Arial"/>
                <w:sz w:val="18"/>
                <w:szCs w:val="18"/>
              </w:rPr>
              <w:t>(1,</w:t>
            </w:r>
            <w:r>
              <w:rPr>
                <w:rFonts w:cs="Arial"/>
                <w:sz w:val="18"/>
                <w:szCs w:val="18"/>
              </w:rPr>
              <w:t>321</w:t>
            </w:r>
            <w:r w:rsidRPr="00EC06E7">
              <w:rPr>
                <w:rFonts w:cs="Arial"/>
                <w:sz w:val="18"/>
                <w:szCs w:val="18"/>
              </w:rPr>
              <w:t>)</w:t>
            </w:r>
          </w:p>
        </w:tc>
        <w:tc>
          <w:tcPr>
            <w:tcW w:w="869" w:type="dxa"/>
            <w:vAlign w:val="center"/>
          </w:tcPr>
          <w:p w:rsidR="00201C5D" w:rsidRPr="00EC06E7" w:rsidRDefault="00201C5D" w:rsidP="00081531">
            <w:pPr>
              <w:jc w:val="right"/>
              <w:rPr>
                <w:rFonts w:cs="Arial"/>
                <w:sz w:val="18"/>
                <w:szCs w:val="18"/>
              </w:rPr>
            </w:pPr>
            <w:r>
              <w:rPr>
                <w:rFonts w:cs="Arial"/>
                <w:sz w:val="18"/>
                <w:szCs w:val="18"/>
              </w:rPr>
              <w:t>(5</w:t>
            </w:r>
            <w:r w:rsidRPr="00EC06E7">
              <w:rPr>
                <w:rFonts w:cs="Arial"/>
                <w:sz w:val="18"/>
                <w:szCs w:val="18"/>
              </w:rPr>
              <w:t>,</w:t>
            </w:r>
            <w:r>
              <w:rPr>
                <w:rFonts w:cs="Arial"/>
                <w:sz w:val="18"/>
                <w:szCs w:val="18"/>
              </w:rPr>
              <w:t>206)</w:t>
            </w:r>
          </w:p>
        </w:tc>
        <w:tc>
          <w:tcPr>
            <w:tcW w:w="901" w:type="dxa"/>
            <w:shd w:val="clear" w:color="auto" w:fill="DEEAF6" w:themeFill="accent1" w:themeFillTint="33"/>
            <w:vAlign w:val="center"/>
          </w:tcPr>
          <w:p w:rsidR="00201C5D" w:rsidRPr="00EC06E7" w:rsidRDefault="00201C5D" w:rsidP="00081531">
            <w:pPr>
              <w:jc w:val="right"/>
              <w:rPr>
                <w:rFonts w:cs="Arial"/>
                <w:sz w:val="18"/>
                <w:szCs w:val="18"/>
              </w:rPr>
            </w:pPr>
            <w:r>
              <w:rPr>
                <w:rFonts w:cs="Arial"/>
                <w:sz w:val="18"/>
                <w:szCs w:val="18"/>
              </w:rPr>
              <w:t>(6</w:t>
            </w:r>
            <w:r w:rsidRPr="00EC06E7">
              <w:rPr>
                <w:rFonts w:cs="Arial"/>
                <w:sz w:val="18"/>
                <w:szCs w:val="18"/>
              </w:rPr>
              <w:t>,</w:t>
            </w:r>
            <w:r>
              <w:rPr>
                <w:rFonts w:cs="Arial"/>
                <w:sz w:val="18"/>
                <w:szCs w:val="18"/>
              </w:rPr>
              <w:t>527)</w:t>
            </w:r>
          </w:p>
        </w:tc>
      </w:tr>
      <w:tr w:rsidR="00201C5D" w:rsidRPr="00EC06E7" w:rsidTr="00201C5D">
        <w:trPr>
          <w:trHeight w:val="567"/>
          <w:jc w:val="center"/>
        </w:trPr>
        <w:tc>
          <w:tcPr>
            <w:tcW w:w="0" w:type="auto"/>
            <w:vAlign w:val="center"/>
          </w:tcPr>
          <w:p w:rsidR="00201C5D" w:rsidRPr="00EC06E7" w:rsidRDefault="00201C5D" w:rsidP="00201C5D">
            <w:pPr>
              <w:rPr>
                <w:rFonts w:cs="Courier New"/>
                <w:sz w:val="18"/>
                <w:szCs w:val="22"/>
              </w:rPr>
            </w:pPr>
            <w:r w:rsidRPr="00EC06E7">
              <w:rPr>
                <w:rFonts w:cs="Courier New"/>
                <w:sz w:val="18"/>
                <w:szCs w:val="22"/>
              </w:rPr>
              <w:t>Adjustments between account</w:t>
            </w:r>
            <w:r>
              <w:rPr>
                <w:rFonts w:cs="Courier New"/>
                <w:sz w:val="18"/>
                <w:szCs w:val="22"/>
              </w:rPr>
              <w:t>ing basis &amp; funding basis</w:t>
            </w:r>
          </w:p>
        </w:tc>
        <w:tc>
          <w:tcPr>
            <w:tcW w:w="1012" w:type="dxa"/>
            <w:vAlign w:val="center"/>
          </w:tcPr>
          <w:p w:rsidR="00201C5D" w:rsidRPr="00EC06E7" w:rsidRDefault="00201C5D" w:rsidP="00081531">
            <w:pPr>
              <w:jc w:val="right"/>
              <w:rPr>
                <w:rFonts w:cs="Arial"/>
                <w:sz w:val="18"/>
                <w:szCs w:val="18"/>
              </w:rPr>
            </w:pPr>
            <w:r>
              <w:rPr>
                <w:rFonts w:cs="Arial"/>
                <w:sz w:val="18"/>
                <w:szCs w:val="18"/>
              </w:rPr>
              <w:t>9</w:t>
            </w:r>
            <w:r w:rsidRPr="00EC06E7">
              <w:rPr>
                <w:rFonts w:cs="Arial"/>
                <w:sz w:val="18"/>
                <w:szCs w:val="18"/>
              </w:rPr>
              <w:t>26</w:t>
            </w:r>
          </w:p>
        </w:tc>
        <w:tc>
          <w:tcPr>
            <w:tcW w:w="869" w:type="dxa"/>
            <w:vAlign w:val="center"/>
          </w:tcPr>
          <w:p w:rsidR="00201C5D" w:rsidRPr="00EC06E7" w:rsidRDefault="00201C5D" w:rsidP="00081531">
            <w:pPr>
              <w:jc w:val="right"/>
              <w:rPr>
                <w:rFonts w:cs="Arial"/>
                <w:sz w:val="18"/>
                <w:szCs w:val="18"/>
              </w:rPr>
            </w:pPr>
            <w:r>
              <w:rPr>
                <w:rFonts w:cs="Arial"/>
                <w:sz w:val="18"/>
                <w:szCs w:val="18"/>
              </w:rPr>
              <w:t>174</w:t>
            </w:r>
          </w:p>
        </w:tc>
        <w:tc>
          <w:tcPr>
            <w:tcW w:w="869" w:type="dxa"/>
            <w:vAlign w:val="center"/>
          </w:tcPr>
          <w:p w:rsidR="00201C5D" w:rsidRPr="00EC06E7" w:rsidRDefault="00201C5D" w:rsidP="00081531">
            <w:pPr>
              <w:jc w:val="right"/>
              <w:rPr>
                <w:rFonts w:cs="Arial"/>
                <w:sz w:val="18"/>
                <w:szCs w:val="18"/>
              </w:rPr>
            </w:pPr>
            <w:r>
              <w:rPr>
                <w:rFonts w:cs="Arial"/>
                <w:sz w:val="18"/>
                <w:szCs w:val="18"/>
              </w:rPr>
              <w:t>(1,662)</w:t>
            </w:r>
          </w:p>
        </w:tc>
        <w:tc>
          <w:tcPr>
            <w:tcW w:w="901" w:type="dxa"/>
            <w:shd w:val="clear" w:color="auto" w:fill="DEEAF6" w:themeFill="accent1" w:themeFillTint="33"/>
            <w:vAlign w:val="center"/>
          </w:tcPr>
          <w:p w:rsidR="00201C5D" w:rsidRPr="00EC06E7" w:rsidRDefault="00201C5D" w:rsidP="00081531">
            <w:pPr>
              <w:jc w:val="right"/>
              <w:rPr>
                <w:rFonts w:cs="Arial"/>
                <w:sz w:val="18"/>
                <w:szCs w:val="18"/>
              </w:rPr>
            </w:pPr>
            <w:r w:rsidRPr="00EC06E7">
              <w:rPr>
                <w:rFonts w:cs="Arial"/>
                <w:sz w:val="18"/>
                <w:szCs w:val="18"/>
              </w:rPr>
              <w:t>(</w:t>
            </w:r>
            <w:r>
              <w:rPr>
                <w:rFonts w:cs="Arial"/>
                <w:sz w:val="18"/>
                <w:szCs w:val="18"/>
              </w:rPr>
              <w:t>562</w:t>
            </w:r>
            <w:r w:rsidRPr="00EC06E7">
              <w:rPr>
                <w:rFonts w:cs="Arial"/>
                <w:sz w:val="18"/>
                <w:szCs w:val="18"/>
              </w:rPr>
              <w:t>)</w:t>
            </w:r>
          </w:p>
        </w:tc>
        <w:tc>
          <w:tcPr>
            <w:tcW w:w="869" w:type="dxa"/>
            <w:vAlign w:val="center"/>
          </w:tcPr>
          <w:p w:rsidR="00201C5D" w:rsidRPr="00EC06E7" w:rsidRDefault="00201C5D" w:rsidP="00081531">
            <w:pPr>
              <w:jc w:val="right"/>
              <w:rPr>
                <w:rFonts w:cs="Arial"/>
                <w:sz w:val="18"/>
                <w:szCs w:val="18"/>
              </w:rPr>
            </w:pPr>
            <w:r>
              <w:rPr>
                <w:rFonts w:cs="Arial"/>
                <w:sz w:val="18"/>
                <w:szCs w:val="18"/>
              </w:rPr>
              <w:t>562</w:t>
            </w:r>
          </w:p>
        </w:tc>
        <w:tc>
          <w:tcPr>
            <w:tcW w:w="901" w:type="dxa"/>
            <w:shd w:val="clear" w:color="auto" w:fill="DEEAF6" w:themeFill="accent1" w:themeFillTint="33"/>
            <w:vAlign w:val="center"/>
          </w:tcPr>
          <w:p w:rsidR="00201C5D" w:rsidRPr="00EC06E7" w:rsidRDefault="00201C5D" w:rsidP="00081531">
            <w:pPr>
              <w:jc w:val="right"/>
              <w:rPr>
                <w:rFonts w:cs="Arial"/>
                <w:sz w:val="18"/>
                <w:szCs w:val="18"/>
              </w:rPr>
            </w:pPr>
            <w:r w:rsidRPr="00EC06E7">
              <w:rPr>
                <w:rFonts w:cs="Arial"/>
                <w:sz w:val="18"/>
                <w:szCs w:val="18"/>
              </w:rPr>
              <w:t>0</w:t>
            </w:r>
          </w:p>
        </w:tc>
      </w:tr>
      <w:tr w:rsidR="00201C5D" w:rsidRPr="00EC06E7" w:rsidTr="00201C5D">
        <w:trPr>
          <w:trHeight w:val="567"/>
          <w:jc w:val="center"/>
        </w:trPr>
        <w:tc>
          <w:tcPr>
            <w:tcW w:w="0" w:type="auto"/>
            <w:tcBorders>
              <w:bottom w:val="single" w:sz="4" w:space="0" w:color="auto"/>
            </w:tcBorders>
            <w:vAlign w:val="center"/>
          </w:tcPr>
          <w:p w:rsidR="00201C5D" w:rsidRPr="00EC06E7" w:rsidRDefault="00201C5D" w:rsidP="00081531">
            <w:pPr>
              <w:rPr>
                <w:rFonts w:cs="Courier New"/>
                <w:b/>
                <w:sz w:val="18"/>
                <w:szCs w:val="22"/>
              </w:rPr>
            </w:pPr>
            <w:r w:rsidRPr="00EC06E7">
              <w:rPr>
                <w:rFonts w:cs="Courier New"/>
                <w:b/>
                <w:sz w:val="18"/>
                <w:szCs w:val="22"/>
              </w:rPr>
              <w:t>(Increase) / Decrease in year</w:t>
            </w:r>
          </w:p>
        </w:tc>
        <w:tc>
          <w:tcPr>
            <w:tcW w:w="1012" w:type="dxa"/>
            <w:tcBorders>
              <w:bottom w:val="single" w:sz="4" w:space="0" w:color="auto"/>
            </w:tcBorders>
            <w:vAlign w:val="center"/>
          </w:tcPr>
          <w:p w:rsidR="00201C5D" w:rsidRPr="00EC06E7" w:rsidRDefault="00201C5D" w:rsidP="00081531">
            <w:pPr>
              <w:jc w:val="right"/>
              <w:rPr>
                <w:rFonts w:cs="Arial"/>
                <w:b/>
                <w:sz w:val="18"/>
                <w:szCs w:val="18"/>
              </w:rPr>
            </w:pPr>
            <w:r>
              <w:rPr>
                <w:rFonts w:cs="Arial"/>
                <w:b/>
                <w:sz w:val="18"/>
                <w:szCs w:val="18"/>
              </w:rPr>
              <w:t>(395</w:t>
            </w:r>
            <w:r w:rsidRPr="00EC06E7">
              <w:rPr>
                <w:rFonts w:cs="Arial"/>
                <w:b/>
                <w:sz w:val="18"/>
                <w:szCs w:val="18"/>
              </w:rPr>
              <w:t>)</w:t>
            </w:r>
          </w:p>
        </w:tc>
        <w:tc>
          <w:tcPr>
            <w:tcW w:w="869" w:type="dxa"/>
            <w:tcBorders>
              <w:bottom w:val="single" w:sz="4" w:space="0" w:color="auto"/>
            </w:tcBorders>
            <w:vAlign w:val="center"/>
          </w:tcPr>
          <w:p w:rsidR="00201C5D" w:rsidRPr="00EC06E7" w:rsidRDefault="00201C5D" w:rsidP="00081531">
            <w:pPr>
              <w:jc w:val="right"/>
              <w:rPr>
                <w:rFonts w:cs="Arial"/>
                <w:b/>
                <w:sz w:val="18"/>
                <w:szCs w:val="18"/>
              </w:rPr>
            </w:pPr>
            <w:r>
              <w:rPr>
                <w:rFonts w:cs="Arial"/>
                <w:b/>
                <w:sz w:val="18"/>
                <w:szCs w:val="18"/>
              </w:rPr>
              <w:t>174</w:t>
            </w:r>
          </w:p>
        </w:tc>
        <w:tc>
          <w:tcPr>
            <w:tcW w:w="869" w:type="dxa"/>
            <w:tcBorders>
              <w:bottom w:val="single" w:sz="4" w:space="0" w:color="auto"/>
            </w:tcBorders>
            <w:vAlign w:val="center"/>
          </w:tcPr>
          <w:p w:rsidR="00201C5D" w:rsidRPr="00EC06E7" w:rsidRDefault="00201C5D" w:rsidP="00081531">
            <w:pPr>
              <w:jc w:val="right"/>
              <w:rPr>
                <w:rFonts w:cs="Arial"/>
                <w:b/>
                <w:sz w:val="18"/>
                <w:szCs w:val="18"/>
              </w:rPr>
            </w:pPr>
            <w:r>
              <w:rPr>
                <w:rFonts w:cs="Arial"/>
                <w:b/>
                <w:sz w:val="18"/>
                <w:szCs w:val="18"/>
              </w:rPr>
              <w:t>(1,662)</w:t>
            </w:r>
          </w:p>
        </w:tc>
        <w:tc>
          <w:tcPr>
            <w:tcW w:w="901" w:type="dxa"/>
            <w:tcBorders>
              <w:bottom w:val="single" w:sz="4" w:space="0" w:color="auto"/>
            </w:tcBorders>
            <w:shd w:val="clear" w:color="auto" w:fill="DEEAF6" w:themeFill="accent1" w:themeFillTint="33"/>
            <w:vAlign w:val="center"/>
          </w:tcPr>
          <w:p w:rsidR="00201C5D" w:rsidRPr="00EC06E7" w:rsidRDefault="00201C5D" w:rsidP="00081531">
            <w:pPr>
              <w:jc w:val="right"/>
              <w:rPr>
                <w:rFonts w:cs="Arial"/>
                <w:b/>
                <w:sz w:val="18"/>
                <w:szCs w:val="18"/>
              </w:rPr>
            </w:pPr>
            <w:r w:rsidRPr="00EC06E7">
              <w:rPr>
                <w:rFonts w:cs="Arial"/>
                <w:b/>
                <w:sz w:val="18"/>
                <w:szCs w:val="18"/>
              </w:rPr>
              <w:t>(</w:t>
            </w:r>
            <w:r>
              <w:rPr>
                <w:rFonts w:cs="Arial"/>
                <w:b/>
                <w:sz w:val="18"/>
                <w:szCs w:val="18"/>
              </w:rPr>
              <w:t>1</w:t>
            </w:r>
            <w:r w:rsidRPr="00EC06E7">
              <w:rPr>
                <w:rFonts w:cs="Arial"/>
                <w:b/>
                <w:sz w:val="18"/>
                <w:szCs w:val="18"/>
              </w:rPr>
              <w:t>,</w:t>
            </w:r>
            <w:r>
              <w:rPr>
                <w:rFonts w:cs="Arial"/>
                <w:b/>
                <w:sz w:val="18"/>
                <w:szCs w:val="18"/>
              </w:rPr>
              <w:t>883</w:t>
            </w:r>
            <w:r w:rsidRPr="00EC06E7">
              <w:rPr>
                <w:rFonts w:cs="Arial"/>
                <w:b/>
                <w:sz w:val="18"/>
                <w:szCs w:val="18"/>
              </w:rPr>
              <w:t>)</w:t>
            </w:r>
          </w:p>
        </w:tc>
        <w:tc>
          <w:tcPr>
            <w:tcW w:w="869" w:type="dxa"/>
            <w:tcBorders>
              <w:bottom w:val="single" w:sz="4" w:space="0" w:color="auto"/>
            </w:tcBorders>
            <w:vAlign w:val="center"/>
          </w:tcPr>
          <w:p w:rsidR="00201C5D" w:rsidRPr="00EC06E7" w:rsidRDefault="00201C5D" w:rsidP="00081531">
            <w:pPr>
              <w:jc w:val="right"/>
              <w:rPr>
                <w:rFonts w:cs="Arial"/>
                <w:b/>
                <w:sz w:val="18"/>
                <w:szCs w:val="18"/>
              </w:rPr>
            </w:pPr>
            <w:r>
              <w:rPr>
                <w:rFonts w:cs="Arial"/>
                <w:b/>
                <w:sz w:val="18"/>
                <w:szCs w:val="18"/>
              </w:rPr>
              <w:t>(4</w:t>
            </w:r>
            <w:r w:rsidRPr="00EC06E7">
              <w:rPr>
                <w:rFonts w:cs="Arial"/>
                <w:b/>
                <w:sz w:val="18"/>
                <w:szCs w:val="18"/>
              </w:rPr>
              <w:t>,</w:t>
            </w:r>
            <w:r>
              <w:rPr>
                <w:rFonts w:cs="Arial"/>
                <w:b/>
                <w:sz w:val="18"/>
                <w:szCs w:val="18"/>
              </w:rPr>
              <w:t>644)</w:t>
            </w:r>
          </w:p>
        </w:tc>
        <w:tc>
          <w:tcPr>
            <w:tcW w:w="901" w:type="dxa"/>
            <w:tcBorders>
              <w:bottom w:val="single" w:sz="4" w:space="0" w:color="auto"/>
            </w:tcBorders>
            <w:shd w:val="clear" w:color="auto" w:fill="DEEAF6" w:themeFill="accent1" w:themeFillTint="33"/>
            <w:vAlign w:val="center"/>
          </w:tcPr>
          <w:p w:rsidR="00201C5D" w:rsidRPr="00EC06E7" w:rsidRDefault="00201C5D" w:rsidP="00081531">
            <w:pPr>
              <w:jc w:val="right"/>
              <w:rPr>
                <w:rFonts w:cs="Arial"/>
                <w:b/>
                <w:sz w:val="18"/>
                <w:szCs w:val="18"/>
              </w:rPr>
            </w:pPr>
            <w:r>
              <w:rPr>
                <w:rFonts w:cs="Arial"/>
                <w:b/>
                <w:sz w:val="18"/>
                <w:szCs w:val="18"/>
              </w:rPr>
              <w:t>(6</w:t>
            </w:r>
            <w:r w:rsidRPr="00EC06E7">
              <w:rPr>
                <w:rFonts w:cs="Arial"/>
                <w:b/>
                <w:sz w:val="18"/>
                <w:szCs w:val="18"/>
              </w:rPr>
              <w:t>,</w:t>
            </w:r>
            <w:r>
              <w:rPr>
                <w:rFonts w:cs="Arial"/>
                <w:b/>
                <w:sz w:val="18"/>
                <w:szCs w:val="18"/>
              </w:rPr>
              <w:t>527)</w:t>
            </w:r>
          </w:p>
        </w:tc>
      </w:tr>
      <w:tr w:rsidR="00201C5D" w:rsidRPr="00EC06E7" w:rsidTr="00201C5D">
        <w:trPr>
          <w:trHeight w:val="567"/>
          <w:jc w:val="center"/>
        </w:trPr>
        <w:tc>
          <w:tcPr>
            <w:tcW w:w="0" w:type="auto"/>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rPr>
                <w:rFonts w:cs="Courier New"/>
                <w:b/>
                <w:sz w:val="18"/>
                <w:szCs w:val="22"/>
              </w:rPr>
            </w:pPr>
            <w:r w:rsidRPr="00EC06E7">
              <w:rPr>
                <w:rFonts w:cs="Courier New"/>
                <w:b/>
                <w:sz w:val="18"/>
                <w:szCs w:val="22"/>
              </w:rPr>
              <w:t xml:space="preserve">Balance at </w:t>
            </w:r>
            <w:r>
              <w:rPr>
                <w:rFonts w:cs="Courier New"/>
                <w:b/>
                <w:sz w:val="18"/>
                <w:szCs w:val="22"/>
              </w:rPr>
              <w:t>31 March 2018</w:t>
            </w:r>
          </w:p>
        </w:tc>
        <w:tc>
          <w:tcPr>
            <w:tcW w:w="1012"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(18,</w:t>
            </w:r>
            <w:r>
              <w:rPr>
                <w:rFonts w:cs="Arial"/>
                <w:b/>
                <w:sz w:val="18"/>
                <w:szCs w:val="18"/>
              </w:rPr>
              <w:t>988</w:t>
            </w:r>
            <w:r w:rsidRPr="00EC06E7">
              <w:rPr>
                <w:rFonts w:cs="Arial"/>
                <w:b/>
                <w:sz w:val="18"/>
                <w:szCs w:val="18"/>
              </w:rPr>
              <w:t>)</w:t>
            </w:r>
          </w:p>
        </w:tc>
        <w:tc>
          <w:tcPr>
            <w:tcW w:w="869"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w:t>
            </w:r>
            <w:r>
              <w:rPr>
                <w:rFonts w:cs="Arial"/>
                <w:b/>
                <w:sz w:val="18"/>
                <w:szCs w:val="18"/>
              </w:rPr>
              <w:t>1,932</w:t>
            </w:r>
            <w:r w:rsidRPr="00EC06E7">
              <w:rPr>
                <w:rFonts w:cs="Arial"/>
                <w:b/>
                <w:sz w:val="18"/>
                <w:szCs w:val="18"/>
              </w:rPr>
              <w:t>)</w:t>
            </w:r>
          </w:p>
        </w:tc>
        <w:tc>
          <w:tcPr>
            <w:tcW w:w="869"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sidRPr="00EC06E7">
              <w:rPr>
                <w:rFonts w:cs="Arial"/>
                <w:b/>
                <w:sz w:val="18"/>
                <w:szCs w:val="18"/>
              </w:rPr>
              <w:t>(</w:t>
            </w:r>
            <w:r>
              <w:rPr>
                <w:rFonts w:cs="Arial"/>
                <w:b/>
                <w:sz w:val="18"/>
                <w:szCs w:val="18"/>
              </w:rPr>
              <w:t>8</w:t>
            </w:r>
            <w:r w:rsidRPr="00EC06E7">
              <w:rPr>
                <w:rFonts w:cs="Arial"/>
                <w:b/>
                <w:sz w:val="18"/>
                <w:szCs w:val="18"/>
              </w:rPr>
              <w:t>,</w:t>
            </w:r>
            <w:r>
              <w:rPr>
                <w:rFonts w:cs="Arial"/>
                <w:b/>
                <w:sz w:val="18"/>
                <w:szCs w:val="18"/>
              </w:rPr>
              <w:t>113</w:t>
            </w:r>
            <w:r w:rsidRPr="00EC06E7">
              <w:rPr>
                <w:rFonts w:cs="Arial"/>
                <w:b/>
                <w:sz w:val="18"/>
                <w:szCs w:val="18"/>
              </w:rPr>
              <w:t>)</w:t>
            </w:r>
          </w:p>
        </w:tc>
        <w:tc>
          <w:tcPr>
            <w:tcW w:w="901" w:type="dxa"/>
            <w:tcBorders>
              <w:top w:val="single" w:sz="4" w:space="0" w:color="auto"/>
              <w:bottom w:val="single" w:sz="4" w:space="0" w:color="auto"/>
            </w:tcBorders>
            <w:shd w:val="clear" w:color="auto" w:fill="D9D9D9" w:themeFill="background1" w:themeFillShade="D9"/>
            <w:vAlign w:val="center"/>
          </w:tcPr>
          <w:p w:rsidR="00201C5D" w:rsidRPr="00EC06E7" w:rsidRDefault="00201C5D" w:rsidP="00081531">
            <w:pPr>
              <w:jc w:val="right"/>
              <w:rPr>
                <w:rFonts w:cs="Arial"/>
                <w:b/>
                <w:sz w:val="18"/>
                <w:szCs w:val="18"/>
              </w:rPr>
            </w:pPr>
            <w:r w:rsidRPr="00EC06E7">
              <w:rPr>
                <w:rFonts w:cs="Arial"/>
                <w:b/>
                <w:sz w:val="18"/>
                <w:szCs w:val="18"/>
              </w:rPr>
              <w:t>(</w:t>
            </w:r>
            <w:r>
              <w:rPr>
                <w:rFonts w:cs="Arial"/>
                <w:b/>
                <w:sz w:val="18"/>
                <w:szCs w:val="18"/>
              </w:rPr>
              <w:t>29</w:t>
            </w:r>
            <w:r w:rsidRPr="00EC06E7">
              <w:rPr>
                <w:rFonts w:cs="Arial"/>
                <w:b/>
                <w:sz w:val="18"/>
                <w:szCs w:val="18"/>
              </w:rPr>
              <w:t>,</w:t>
            </w:r>
            <w:r>
              <w:rPr>
                <w:rFonts w:cs="Arial"/>
                <w:b/>
                <w:sz w:val="18"/>
                <w:szCs w:val="18"/>
              </w:rPr>
              <w:t>033</w:t>
            </w:r>
            <w:r w:rsidRPr="00EC06E7">
              <w:rPr>
                <w:rFonts w:cs="Arial"/>
                <w:b/>
                <w:sz w:val="18"/>
                <w:szCs w:val="18"/>
              </w:rPr>
              <w:t>)</w:t>
            </w:r>
          </w:p>
        </w:tc>
        <w:tc>
          <w:tcPr>
            <w:tcW w:w="869" w:type="dxa"/>
            <w:tcBorders>
              <w:top w:val="single" w:sz="4" w:space="0" w:color="auto"/>
              <w:bottom w:val="single" w:sz="4" w:space="0" w:color="auto"/>
            </w:tcBorders>
            <w:shd w:val="clear" w:color="auto" w:fill="F2F2F2" w:themeFill="background1" w:themeFillShade="F2"/>
            <w:vAlign w:val="center"/>
          </w:tcPr>
          <w:p w:rsidR="00201C5D" w:rsidRPr="00EC06E7" w:rsidRDefault="00201C5D" w:rsidP="00081531">
            <w:pPr>
              <w:jc w:val="right"/>
              <w:rPr>
                <w:rFonts w:cs="Arial"/>
                <w:b/>
                <w:sz w:val="18"/>
                <w:szCs w:val="18"/>
              </w:rPr>
            </w:pPr>
            <w:r>
              <w:rPr>
                <w:rFonts w:cs="Arial"/>
                <w:b/>
                <w:sz w:val="18"/>
                <w:szCs w:val="18"/>
              </w:rPr>
              <w:t>(2</w:t>
            </w:r>
            <w:r w:rsidRPr="00EC06E7">
              <w:rPr>
                <w:rFonts w:cs="Arial"/>
                <w:b/>
                <w:sz w:val="18"/>
                <w:szCs w:val="18"/>
              </w:rPr>
              <w:t>,</w:t>
            </w:r>
            <w:r>
              <w:rPr>
                <w:rFonts w:cs="Arial"/>
                <w:b/>
                <w:sz w:val="18"/>
                <w:szCs w:val="18"/>
              </w:rPr>
              <w:t>279)</w:t>
            </w:r>
          </w:p>
        </w:tc>
        <w:tc>
          <w:tcPr>
            <w:tcW w:w="901" w:type="dxa"/>
            <w:tcBorders>
              <w:top w:val="single" w:sz="4" w:space="0" w:color="auto"/>
              <w:bottom w:val="single" w:sz="4" w:space="0" w:color="auto"/>
            </w:tcBorders>
            <w:shd w:val="clear" w:color="auto" w:fill="D9D9D9" w:themeFill="background1" w:themeFillShade="D9"/>
            <w:vAlign w:val="center"/>
          </w:tcPr>
          <w:p w:rsidR="00201C5D" w:rsidRPr="00EC06E7" w:rsidRDefault="00201C5D" w:rsidP="00081531">
            <w:pPr>
              <w:jc w:val="right"/>
              <w:rPr>
                <w:rFonts w:cs="Arial"/>
                <w:b/>
                <w:sz w:val="18"/>
                <w:szCs w:val="18"/>
              </w:rPr>
            </w:pPr>
            <w:r w:rsidRPr="00EC06E7">
              <w:rPr>
                <w:rFonts w:cs="Arial"/>
                <w:b/>
                <w:sz w:val="18"/>
                <w:szCs w:val="18"/>
              </w:rPr>
              <w:t>(</w:t>
            </w:r>
            <w:r>
              <w:rPr>
                <w:rFonts w:cs="Arial"/>
                <w:b/>
                <w:sz w:val="18"/>
                <w:szCs w:val="18"/>
              </w:rPr>
              <w:t>31</w:t>
            </w:r>
            <w:r w:rsidRPr="00EC06E7">
              <w:rPr>
                <w:rFonts w:cs="Arial"/>
                <w:b/>
                <w:sz w:val="18"/>
                <w:szCs w:val="18"/>
              </w:rPr>
              <w:t>,</w:t>
            </w:r>
            <w:r>
              <w:rPr>
                <w:rFonts w:cs="Arial"/>
                <w:b/>
                <w:sz w:val="18"/>
                <w:szCs w:val="18"/>
              </w:rPr>
              <w:t>312</w:t>
            </w:r>
            <w:r w:rsidRPr="00EC06E7">
              <w:rPr>
                <w:rFonts w:cs="Arial"/>
                <w:b/>
                <w:sz w:val="18"/>
                <w:szCs w:val="18"/>
              </w:rPr>
              <w:t>)</w:t>
            </w:r>
          </w:p>
        </w:tc>
      </w:tr>
    </w:tbl>
    <w:p w:rsidR="00201C5D" w:rsidRPr="00931613" w:rsidRDefault="00201C5D" w:rsidP="00201C5D">
      <w:pPr>
        <w:rPr>
          <w:rFonts w:cs="Arial"/>
          <w:szCs w:val="22"/>
          <w:highlight w:val="yellow"/>
        </w:rPr>
      </w:pPr>
    </w:p>
    <w:p w:rsidR="00201C5D" w:rsidRPr="00931613" w:rsidRDefault="00201C5D" w:rsidP="00201C5D">
      <w:pPr>
        <w:rPr>
          <w:rFonts w:cs="Arial"/>
          <w:szCs w:val="22"/>
        </w:rPr>
      </w:pPr>
    </w:p>
    <w:p w:rsidR="000D01B5" w:rsidRDefault="00201C5D" w:rsidP="00201C5D">
      <w:pPr>
        <w:keepNext/>
        <w:numPr>
          <w:ilvl w:val="1"/>
          <w:numId w:val="8"/>
        </w:numPr>
        <w:ind w:left="709" w:hanging="425"/>
        <w:jc w:val="both"/>
        <w:outlineLvl w:val="0"/>
        <w:rPr>
          <w:rFonts w:cs="Arial"/>
          <w:szCs w:val="22"/>
        </w:rPr>
      </w:pPr>
      <w:r w:rsidRPr="00931613">
        <w:rPr>
          <w:rFonts w:cs="Arial"/>
          <w:szCs w:val="22"/>
        </w:rPr>
        <w:t>The abo</w:t>
      </w:r>
      <w:r w:rsidR="00A21479">
        <w:rPr>
          <w:rFonts w:cs="Arial"/>
          <w:szCs w:val="22"/>
        </w:rPr>
        <w:t xml:space="preserve">ve statement shows </w:t>
      </w:r>
      <w:r w:rsidRPr="00931613">
        <w:rPr>
          <w:rFonts w:cs="Arial"/>
          <w:szCs w:val="22"/>
        </w:rPr>
        <w:t>that there was a surplus</w:t>
      </w:r>
      <w:r>
        <w:rPr>
          <w:rFonts w:cs="Arial"/>
          <w:szCs w:val="22"/>
        </w:rPr>
        <w:t xml:space="preserve"> on the provision of services</w:t>
      </w:r>
      <w:r w:rsidRPr="00931613">
        <w:rPr>
          <w:rFonts w:cs="Arial"/>
          <w:szCs w:val="22"/>
        </w:rPr>
        <w:t xml:space="preserve"> in the year, calculated according to generally accepted accounting practice, of £1.</w:t>
      </w:r>
      <w:r w:rsidR="00CB76DA">
        <w:rPr>
          <w:rFonts w:cs="Arial"/>
          <w:szCs w:val="22"/>
        </w:rPr>
        <w:t>321</w:t>
      </w:r>
      <w:r w:rsidRPr="00931613">
        <w:rPr>
          <w:rFonts w:cs="Arial"/>
          <w:szCs w:val="22"/>
        </w:rPr>
        <w:t>m (</w:t>
      </w:r>
      <w:r>
        <w:rPr>
          <w:rFonts w:cs="Arial"/>
          <w:szCs w:val="22"/>
        </w:rPr>
        <w:t>surplus</w:t>
      </w:r>
      <w:r w:rsidRPr="00931613">
        <w:rPr>
          <w:rFonts w:cs="Arial"/>
          <w:szCs w:val="22"/>
        </w:rPr>
        <w:t xml:space="preserve"> of £</w:t>
      </w:r>
      <w:r>
        <w:rPr>
          <w:rFonts w:cs="Arial"/>
          <w:szCs w:val="22"/>
        </w:rPr>
        <w:t>1</w:t>
      </w:r>
      <w:r w:rsidRPr="00931613">
        <w:rPr>
          <w:rFonts w:cs="Arial"/>
          <w:szCs w:val="22"/>
        </w:rPr>
        <w:t>.</w:t>
      </w:r>
      <w:r w:rsidR="00CB76DA">
        <w:rPr>
          <w:rFonts w:cs="Arial"/>
          <w:szCs w:val="22"/>
        </w:rPr>
        <w:t>289</w:t>
      </w:r>
      <w:r>
        <w:rPr>
          <w:rFonts w:cs="Arial"/>
          <w:szCs w:val="22"/>
        </w:rPr>
        <w:t>m 201</w:t>
      </w:r>
      <w:r w:rsidR="00CB76DA">
        <w:rPr>
          <w:rFonts w:cs="Arial"/>
          <w:szCs w:val="22"/>
        </w:rPr>
        <w:t>6/17</w:t>
      </w:r>
      <w:r>
        <w:rPr>
          <w:rFonts w:cs="Arial"/>
          <w:szCs w:val="22"/>
        </w:rPr>
        <w:t xml:space="preserve">). The adjustments of </w:t>
      </w:r>
      <w:r w:rsidR="00CB76DA">
        <w:rPr>
          <w:rFonts w:cs="Arial"/>
          <w:szCs w:val="22"/>
        </w:rPr>
        <w:t>£0.9</w:t>
      </w:r>
      <w:r>
        <w:rPr>
          <w:rFonts w:cs="Arial"/>
          <w:szCs w:val="22"/>
        </w:rPr>
        <w:t>26</w:t>
      </w:r>
      <w:r w:rsidRPr="00931613">
        <w:rPr>
          <w:rFonts w:cs="Arial"/>
          <w:szCs w:val="22"/>
        </w:rPr>
        <w:t xml:space="preserve">m </w:t>
      </w:r>
      <w:r>
        <w:rPr>
          <w:rFonts w:cs="Arial"/>
          <w:szCs w:val="22"/>
        </w:rPr>
        <w:t>(</w:t>
      </w:r>
      <w:r w:rsidRPr="00D229DA">
        <w:rPr>
          <w:rFonts w:cs="Arial"/>
          <w:szCs w:val="22"/>
        </w:rPr>
        <w:t>£-</w:t>
      </w:r>
      <w:r w:rsidR="00CB76DA">
        <w:rPr>
          <w:rFonts w:cs="Arial"/>
          <w:szCs w:val="22"/>
        </w:rPr>
        <w:t>1</w:t>
      </w:r>
      <w:r w:rsidRPr="00D229DA">
        <w:rPr>
          <w:rFonts w:cs="Arial"/>
          <w:szCs w:val="22"/>
        </w:rPr>
        <w:t>.</w:t>
      </w:r>
      <w:r w:rsidR="00CB76DA">
        <w:rPr>
          <w:rFonts w:cs="Arial"/>
          <w:szCs w:val="22"/>
        </w:rPr>
        <w:t>526</w:t>
      </w:r>
      <w:r w:rsidRPr="00D229DA">
        <w:rPr>
          <w:rFonts w:cs="Arial"/>
          <w:szCs w:val="22"/>
        </w:rPr>
        <w:t xml:space="preserve">m </w:t>
      </w:r>
      <w:r>
        <w:rPr>
          <w:rFonts w:cs="Arial"/>
          <w:szCs w:val="22"/>
        </w:rPr>
        <w:t>in 201</w:t>
      </w:r>
      <w:r w:rsidR="00CB76DA">
        <w:rPr>
          <w:rFonts w:cs="Arial"/>
          <w:szCs w:val="22"/>
        </w:rPr>
        <w:t>6/17</w:t>
      </w:r>
      <w:r w:rsidRPr="00931613">
        <w:rPr>
          <w:rFonts w:cs="Arial"/>
          <w:szCs w:val="22"/>
        </w:rPr>
        <w:t xml:space="preserve">) required for the purposes of calculating local taxes have been </w:t>
      </w:r>
      <w:r w:rsidR="00CB76DA">
        <w:rPr>
          <w:rFonts w:cs="Arial"/>
          <w:szCs w:val="22"/>
        </w:rPr>
        <w:t xml:space="preserve">charged against this surplus </w:t>
      </w:r>
      <w:r>
        <w:rPr>
          <w:rFonts w:cs="Arial"/>
          <w:szCs w:val="22"/>
        </w:rPr>
        <w:t xml:space="preserve">resulting in a </w:t>
      </w:r>
      <w:r w:rsidR="00CB76DA">
        <w:rPr>
          <w:rFonts w:cs="Arial"/>
          <w:szCs w:val="22"/>
        </w:rPr>
        <w:t xml:space="preserve">net </w:t>
      </w:r>
      <w:r>
        <w:rPr>
          <w:rFonts w:cs="Arial"/>
          <w:szCs w:val="22"/>
        </w:rPr>
        <w:t>surplus to be added of the General Fund Balance of £</w:t>
      </w:r>
      <w:r w:rsidR="00CB76DA">
        <w:rPr>
          <w:rFonts w:cs="Arial"/>
          <w:szCs w:val="22"/>
        </w:rPr>
        <w:t>0</w:t>
      </w:r>
      <w:r>
        <w:rPr>
          <w:rFonts w:cs="Arial"/>
          <w:szCs w:val="22"/>
        </w:rPr>
        <w:t>.</w:t>
      </w:r>
      <w:r w:rsidR="00CB76DA">
        <w:rPr>
          <w:rFonts w:cs="Arial"/>
          <w:szCs w:val="22"/>
        </w:rPr>
        <w:t>395</w:t>
      </w:r>
      <w:r w:rsidRPr="00931613">
        <w:rPr>
          <w:rFonts w:cs="Arial"/>
          <w:szCs w:val="22"/>
        </w:rPr>
        <w:t>m (</w:t>
      </w:r>
      <w:r>
        <w:rPr>
          <w:rFonts w:cs="Arial"/>
          <w:szCs w:val="22"/>
        </w:rPr>
        <w:t>surplus</w:t>
      </w:r>
      <w:r w:rsidRPr="00931613">
        <w:rPr>
          <w:rFonts w:cs="Arial"/>
          <w:szCs w:val="22"/>
        </w:rPr>
        <w:t xml:space="preserve"> of </w:t>
      </w:r>
      <w:r w:rsidR="00CB76DA">
        <w:rPr>
          <w:rFonts w:cs="Arial"/>
          <w:szCs w:val="22"/>
        </w:rPr>
        <w:t>£2</w:t>
      </w:r>
      <w:r w:rsidRPr="00D229DA">
        <w:rPr>
          <w:rFonts w:cs="Arial"/>
          <w:szCs w:val="22"/>
        </w:rPr>
        <w:t>.</w:t>
      </w:r>
      <w:r w:rsidR="00CB76DA">
        <w:rPr>
          <w:rFonts w:cs="Arial"/>
          <w:szCs w:val="22"/>
        </w:rPr>
        <w:t>815</w:t>
      </w:r>
      <w:r w:rsidRPr="00D229DA">
        <w:rPr>
          <w:rFonts w:cs="Arial"/>
          <w:szCs w:val="22"/>
        </w:rPr>
        <w:t xml:space="preserve">m </w:t>
      </w:r>
      <w:r>
        <w:rPr>
          <w:rFonts w:cs="Arial"/>
          <w:szCs w:val="22"/>
        </w:rPr>
        <w:t xml:space="preserve">in </w:t>
      </w:r>
      <w:r w:rsidRPr="00AA02F9">
        <w:rPr>
          <w:rFonts w:cs="Arial"/>
          <w:szCs w:val="22"/>
        </w:rPr>
        <w:t>201</w:t>
      </w:r>
      <w:r w:rsidR="00CB76DA">
        <w:rPr>
          <w:rFonts w:cs="Arial"/>
          <w:szCs w:val="22"/>
        </w:rPr>
        <w:t>6/17</w:t>
      </w:r>
      <w:r w:rsidRPr="00AA02F9">
        <w:rPr>
          <w:rFonts w:cs="Arial"/>
          <w:szCs w:val="22"/>
        </w:rPr>
        <w:t xml:space="preserve">). </w:t>
      </w:r>
    </w:p>
    <w:p w:rsidR="000D01B5" w:rsidRDefault="000D01B5" w:rsidP="000D01B5">
      <w:pPr>
        <w:keepNext/>
        <w:ind w:left="284"/>
        <w:jc w:val="both"/>
        <w:outlineLvl w:val="0"/>
        <w:rPr>
          <w:rFonts w:cs="Arial"/>
          <w:szCs w:val="22"/>
        </w:rPr>
      </w:pPr>
    </w:p>
    <w:p w:rsidR="00201C5D" w:rsidRPr="00931613" w:rsidRDefault="00201C5D" w:rsidP="00201C5D">
      <w:pPr>
        <w:keepNext/>
        <w:numPr>
          <w:ilvl w:val="1"/>
          <w:numId w:val="8"/>
        </w:numPr>
        <w:ind w:left="709" w:hanging="425"/>
        <w:jc w:val="both"/>
        <w:outlineLvl w:val="0"/>
        <w:rPr>
          <w:rFonts w:cs="Arial"/>
          <w:szCs w:val="22"/>
        </w:rPr>
      </w:pPr>
      <w:r w:rsidRPr="00AA02F9">
        <w:rPr>
          <w:rFonts w:cs="Arial"/>
          <w:szCs w:val="22"/>
        </w:rPr>
        <w:t>The change in adjustments between an accounting basis and a fundin</w:t>
      </w:r>
      <w:r w:rsidR="000D01B5">
        <w:rPr>
          <w:rFonts w:cs="Arial"/>
          <w:szCs w:val="22"/>
        </w:rPr>
        <w:t>g basis under regulation from -£</w:t>
      </w:r>
      <w:r w:rsidR="00B92B82">
        <w:rPr>
          <w:rFonts w:cs="Arial"/>
          <w:szCs w:val="22"/>
        </w:rPr>
        <w:t>1</w:t>
      </w:r>
      <w:r w:rsidRPr="00AA02F9">
        <w:rPr>
          <w:rFonts w:cs="Arial"/>
          <w:szCs w:val="22"/>
        </w:rPr>
        <w:t>.</w:t>
      </w:r>
      <w:r w:rsidR="00B92B82">
        <w:rPr>
          <w:rFonts w:cs="Arial"/>
          <w:szCs w:val="22"/>
        </w:rPr>
        <w:t>526m in 2016/17</w:t>
      </w:r>
      <w:r w:rsidRPr="00AA02F9">
        <w:rPr>
          <w:rFonts w:cs="Arial"/>
          <w:szCs w:val="22"/>
        </w:rPr>
        <w:t xml:space="preserve"> to £</w:t>
      </w:r>
      <w:r w:rsidR="00B92B82">
        <w:rPr>
          <w:rFonts w:cs="Arial"/>
          <w:szCs w:val="22"/>
        </w:rPr>
        <w:t>0</w:t>
      </w:r>
      <w:r w:rsidRPr="00AA02F9">
        <w:rPr>
          <w:rFonts w:cs="Arial"/>
          <w:szCs w:val="22"/>
        </w:rPr>
        <w:t>.</w:t>
      </w:r>
      <w:r w:rsidR="00B92B82">
        <w:rPr>
          <w:rFonts w:cs="Arial"/>
          <w:szCs w:val="22"/>
        </w:rPr>
        <w:t>926m in 2017/18</w:t>
      </w:r>
      <w:r w:rsidR="002C0479">
        <w:rPr>
          <w:rFonts w:cs="Arial"/>
          <w:szCs w:val="22"/>
        </w:rPr>
        <w:t xml:space="preserve"> is mainly due to the </w:t>
      </w:r>
      <w:r w:rsidRPr="00AA02F9">
        <w:rPr>
          <w:rFonts w:cs="Arial"/>
          <w:szCs w:val="22"/>
        </w:rPr>
        <w:t>increase in the</w:t>
      </w:r>
      <w:r w:rsidRPr="00AA02F9">
        <w:t xml:space="preserve"> </w:t>
      </w:r>
      <w:r w:rsidRPr="00AA02F9">
        <w:rPr>
          <w:rFonts w:cs="Arial"/>
          <w:szCs w:val="22"/>
        </w:rPr>
        <w:t xml:space="preserve">reversal of entries included in the Surplus or Deficit on the Provision of Services in relation to capital </w:t>
      </w:r>
      <w:r w:rsidR="00B92B82">
        <w:rPr>
          <w:rFonts w:cs="Arial"/>
          <w:szCs w:val="22"/>
        </w:rPr>
        <w:t>income</w:t>
      </w:r>
      <w:r w:rsidRPr="00AA02F9">
        <w:rPr>
          <w:rFonts w:cs="Arial"/>
          <w:szCs w:val="22"/>
        </w:rPr>
        <w:t xml:space="preserve"> from £0.</w:t>
      </w:r>
      <w:r w:rsidR="00B92B82">
        <w:rPr>
          <w:rFonts w:cs="Arial"/>
          <w:szCs w:val="22"/>
        </w:rPr>
        <w:t>709</w:t>
      </w:r>
      <w:r w:rsidRPr="00AA02F9">
        <w:rPr>
          <w:rFonts w:cs="Arial"/>
          <w:szCs w:val="22"/>
        </w:rPr>
        <w:t>m in 201</w:t>
      </w:r>
      <w:r w:rsidR="00B92B82">
        <w:rPr>
          <w:rFonts w:cs="Arial"/>
          <w:szCs w:val="22"/>
        </w:rPr>
        <w:t>6/17</w:t>
      </w:r>
      <w:r w:rsidRPr="00AA02F9">
        <w:rPr>
          <w:rFonts w:cs="Arial"/>
          <w:szCs w:val="22"/>
        </w:rPr>
        <w:t xml:space="preserve"> to £2.</w:t>
      </w:r>
      <w:r w:rsidR="00B92B82">
        <w:rPr>
          <w:rFonts w:cs="Arial"/>
          <w:szCs w:val="22"/>
        </w:rPr>
        <w:t>941m</w:t>
      </w:r>
      <w:r w:rsidRPr="00AA02F9">
        <w:rPr>
          <w:rFonts w:cs="Arial"/>
          <w:szCs w:val="22"/>
        </w:rPr>
        <w:t xml:space="preserve"> in 201</w:t>
      </w:r>
      <w:r w:rsidR="00B92B82">
        <w:rPr>
          <w:rFonts w:cs="Arial"/>
          <w:szCs w:val="22"/>
        </w:rPr>
        <w:t>7/18</w:t>
      </w:r>
      <w:r w:rsidRPr="00AA02F9">
        <w:rPr>
          <w:rFonts w:cs="Arial"/>
          <w:szCs w:val="22"/>
        </w:rPr>
        <w:t xml:space="preserve">. Although </w:t>
      </w:r>
      <w:r w:rsidR="00B92B82">
        <w:rPr>
          <w:rFonts w:cs="Arial"/>
          <w:szCs w:val="22"/>
        </w:rPr>
        <w:t xml:space="preserve">capital grants and contributions </w:t>
      </w:r>
      <w:r w:rsidRPr="00AA02F9">
        <w:rPr>
          <w:rFonts w:cs="Arial"/>
          <w:szCs w:val="22"/>
        </w:rPr>
        <w:t>must be recognised in the Comprehensive Income</w:t>
      </w:r>
      <w:r w:rsidRPr="00931613">
        <w:rPr>
          <w:rFonts w:cs="Arial"/>
          <w:szCs w:val="22"/>
        </w:rPr>
        <w:t xml:space="preserve"> and Expenditure Account for accounting purposes, it must not be counted as income for the purposes of taxation and so </w:t>
      </w:r>
      <w:r w:rsidR="00B92B82">
        <w:rPr>
          <w:rFonts w:cs="Arial"/>
          <w:szCs w:val="22"/>
        </w:rPr>
        <w:t>removed from the General Fund here.</w:t>
      </w:r>
    </w:p>
    <w:p w:rsidR="00201C5D" w:rsidRPr="00931613" w:rsidRDefault="00201C5D" w:rsidP="00201C5D">
      <w:pPr>
        <w:jc w:val="both"/>
        <w:rPr>
          <w:rFonts w:cs="Arial"/>
          <w:szCs w:val="22"/>
          <w:highlight w:val="yellow"/>
        </w:rPr>
      </w:pPr>
    </w:p>
    <w:p w:rsidR="00201C5D" w:rsidRPr="00931613" w:rsidRDefault="00201C5D" w:rsidP="00201C5D">
      <w:pPr>
        <w:keepNext/>
        <w:numPr>
          <w:ilvl w:val="1"/>
          <w:numId w:val="8"/>
        </w:numPr>
        <w:ind w:hanging="436"/>
        <w:jc w:val="both"/>
        <w:outlineLvl w:val="0"/>
        <w:rPr>
          <w:rFonts w:cs="Arial"/>
          <w:szCs w:val="22"/>
        </w:rPr>
      </w:pPr>
      <w:r>
        <w:rPr>
          <w:rFonts w:cs="Arial"/>
          <w:szCs w:val="22"/>
        </w:rPr>
        <w:t>Of</w:t>
      </w:r>
      <w:r w:rsidRPr="00931613">
        <w:rPr>
          <w:rFonts w:cs="Arial"/>
          <w:szCs w:val="22"/>
        </w:rPr>
        <w:t xml:space="preserve"> the £</w:t>
      </w:r>
      <w:r w:rsidR="00B92B82">
        <w:rPr>
          <w:rFonts w:cs="Arial"/>
          <w:szCs w:val="22"/>
        </w:rPr>
        <w:t>0</w:t>
      </w:r>
      <w:r w:rsidRPr="00931613">
        <w:rPr>
          <w:rFonts w:cs="Arial"/>
          <w:szCs w:val="22"/>
        </w:rPr>
        <w:t>.</w:t>
      </w:r>
      <w:r w:rsidR="00B92B82">
        <w:rPr>
          <w:rFonts w:cs="Arial"/>
          <w:szCs w:val="22"/>
        </w:rPr>
        <w:t>395</w:t>
      </w:r>
      <w:r w:rsidRPr="00931613">
        <w:rPr>
          <w:rFonts w:cs="Arial"/>
          <w:szCs w:val="22"/>
        </w:rPr>
        <w:t xml:space="preserve">m surplus calculated for taxation purposes, a net </w:t>
      </w:r>
      <w:r w:rsidR="00B92B82">
        <w:rPr>
          <w:rFonts w:cs="Arial"/>
          <w:szCs w:val="22"/>
        </w:rPr>
        <w:t>£0</w:t>
      </w:r>
      <w:r w:rsidRPr="00347BFB">
        <w:rPr>
          <w:rFonts w:cs="Arial"/>
          <w:szCs w:val="22"/>
        </w:rPr>
        <w:t>.</w:t>
      </w:r>
      <w:r w:rsidR="00B92B82">
        <w:rPr>
          <w:rFonts w:cs="Arial"/>
          <w:szCs w:val="22"/>
        </w:rPr>
        <w:t>075</w:t>
      </w:r>
      <w:r w:rsidRPr="00347BFB">
        <w:rPr>
          <w:rFonts w:cs="Arial"/>
          <w:szCs w:val="22"/>
        </w:rPr>
        <w:t xml:space="preserve">m </w:t>
      </w:r>
      <w:r w:rsidRPr="00931613">
        <w:rPr>
          <w:rFonts w:cs="Arial"/>
          <w:szCs w:val="22"/>
        </w:rPr>
        <w:t xml:space="preserve">was transferred </w:t>
      </w:r>
      <w:r w:rsidR="00B92B82">
        <w:rPr>
          <w:rFonts w:cs="Arial"/>
          <w:szCs w:val="22"/>
        </w:rPr>
        <w:t>from</w:t>
      </w:r>
      <w:r w:rsidRPr="00931613">
        <w:rPr>
          <w:rFonts w:cs="Arial"/>
          <w:szCs w:val="22"/>
        </w:rPr>
        <w:t xml:space="preserve"> earmarked reserves (</w:t>
      </w:r>
      <w:r w:rsidRPr="00347BFB">
        <w:rPr>
          <w:rFonts w:cs="Arial"/>
          <w:szCs w:val="22"/>
        </w:rPr>
        <w:t>£2.</w:t>
      </w:r>
      <w:r w:rsidR="00B92B82">
        <w:rPr>
          <w:rFonts w:cs="Arial"/>
          <w:szCs w:val="22"/>
        </w:rPr>
        <w:t>412</w:t>
      </w:r>
      <w:r w:rsidRPr="00347BFB">
        <w:rPr>
          <w:rFonts w:cs="Arial"/>
          <w:szCs w:val="22"/>
        </w:rPr>
        <w:t xml:space="preserve">m </w:t>
      </w:r>
      <w:r w:rsidR="00B92B82">
        <w:rPr>
          <w:rFonts w:cs="Arial"/>
          <w:szCs w:val="22"/>
        </w:rPr>
        <w:t>transferred to earmarked reserves in 2016</w:t>
      </w:r>
      <w:r w:rsidRPr="00931613">
        <w:rPr>
          <w:rFonts w:cs="Arial"/>
          <w:szCs w:val="22"/>
        </w:rPr>
        <w:t>/1</w:t>
      </w:r>
      <w:r w:rsidR="00B92B82">
        <w:rPr>
          <w:rFonts w:cs="Arial"/>
          <w:szCs w:val="22"/>
        </w:rPr>
        <w:t>7</w:t>
      </w:r>
      <w:r w:rsidRPr="00931613">
        <w:rPr>
          <w:rFonts w:cs="Arial"/>
          <w:szCs w:val="22"/>
        </w:rPr>
        <w:t>). This</w:t>
      </w:r>
      <w:r>
        <w:rPr>
          <w:rFonts w:cs="Arial"/>
          <w:szCs w:val="22"/>
        </w:rPr>
        <w:t xml:space="preserve"> </w:t>
      </w:r>
      <w:r w:rsidRPr="00931613">
        <w:rPr>
          <w:rFonts w:cs="Arial"/>
          <w:szCs w:val="22"/>
        </w:rPr>
        <w:t>leaves a total increase on the general fund balance in the year of £0.</w:t>
      </w:r>
      <w:r>
        <w:rPr>
          <w:rFonts w:cs="Arial"/>
          <w:szCs w:val="22"/>
        </w:rPr>
        <w:t>4</w:t>
      </w:r>
      <w:r w:rsidR="00B92B82">
        <w:rPr>
          <w:rFonts w:cs="Arial"/>
          <w:szCs w:val="22"/>
        </w:rPr>
        <w:t>70</w:t>
      </w:r>
      <w:r>
        <w:rPr>
          <w:rFonts w:cs="Arial"/>
          <w:szCs w:val="22"/>
        </w:rPr>
        <w:t>m (in</w:t>
      </w:r>
      <w:r w:rsidRPr="00931613">
        <w:rPr>
          <w:rFonts w:cs="Arial"/>
          <w:szCs w:val="22"/>
        </w:rPr>
        <w:t>crease of £0.</w:t>
      </w:r>
      <w:r w:rsidR="00B92B82">
        <w:rPr>
          <w:rFonts w:cs="Arial"/>
          <w:szCs w:val="22"/>
        </w:rPr>
        <w:t>403m in 2016</w:t>
      </w:r>
      <w:r w:rsidRPr="00931613">
        <w:rPr>
          <w:rFonts w:cs="Arial"/>
          <w:szCs w:val="22"/>
        </w:rPr>
        <w:t>/1</w:t>
      </w:r>
      <w:r w:rsidR="00B92B82">
        <w:rPr>
          <w:rFonts w:cs="Arial"/>
          <w:szCs w:val="22"/>
        </w:rPr>
        <w:t>7</w:t>
      </w:r>
      <w:r w:rsidRPr="00931613">
        <w:rPr>
          <w:rFonts w:cs="Arial"/>
          <w:szCs w:val="22"/>
        </w:rPr>
        <w:t xml:space="preserve">). </w:t>
      </w:r>
      <w:r w:rsidR="00985978">
        <w:rPr>
          <w:rFonts w:cs="Arial"/>
          <w:szCs w:val="22"/>
        </w:rPr>
        <w:t>There were also reclassifications between the General Fund Balance and Earmarked Reserves of net £0.290m</w:t>
      </w:r>
      <w:r w:rsidR="008D3C4E">
        <w:rPr>
          <w:rFonts w:cs="Arial"/>
          <w:szCs w:val="22"/>
        </w:rPr>
        <w:t xml:space="preserve"> during 2017/18 to better align reserves to the council’s financial strategy</w:t>
      </w:r>
      <w:r w:rsidR="00985978">
        <w:rPr>
          <w:rFonts w:cs="Arial"/>
          <w:szCs w:val="22"/>
        </w:rPr>
        <w:t xml:space="preserve">. </w:t>
      </w:r>
      <w:r w:rsidRPr="00931613">
        <w:rPr>
          <w:rFonts w:cs="Arial"/>
          <w:szCs w:val="22"/>
        </w:rPr>
        <w:t xml:space="preserve">This leaves </w:t>
      </w:r>
      <w:r>
        <w:rPr>
          <w:rFonts w:cs="Arial"/>
          <w:szCs w:val="22"/>
        </w:rPr>
        <w:t>a</w:t>
      </w:r>
      <w:r w:rsidRPr="00931613">
        <w:rPr>
          <w:rFonts w:cs="Arial"/>
          <w:szCs w:val="22"/>
        </w:rPr>
        <w:t xml:space="preserve"> General Fund </w:t>
      </w:r>
      <w:r>
        <w:rPr>
          <w:rFonts w:cs="Arial"/>
          <w:szCs w:val="22"/>
        </w:rPr>
        <w:t>B</w:t>
      </w:r>
      <w:r w:rsidRPr="00931613">
        <w:rPr>
          <w:rFonts w:cs="Arial"/>
          <w:szCs w:val="22"/>
        </w:rPr>
        <w:t xml:space="preserve">alance at year end of </w:t>
      </w:r>
      <w:r w:rsidR="00B92B82">
        <w:rPr>
          <w:rFonts w:cs="Arial"/>
          <w:szCs w:val="22"/>
        </w:rPr>
        <w:t>£18.988</w:t>
      </w:r>
      <w:r>
        <w:rPr>
          <w:rFonts w:cs="Arial"/>
          <w:szCs w:val="22"/>
        </w:rPr>
        <w:t>m (1</w:t>
      </w:r>
      <w:r w:rsidR="00B92B82">
        <w:rPr>
          <w:rFonts w:cs="Arial"/>
          <w:szCs w:val="22"/>
        </w:rPr>
        <w:t>8</w:t>
      </w:r>
      <w:r>
        <w:rPr>
          <w:rFonts w:cs="Arial"/>
          <w:szCs w:val="22"/>
        </w:rPr>
        <w:t>.</w:t>
      </w:r>
      <w:r w:rsidR="00B92B82">
        <w:rPr>
          <w:rFonts w:cs="Arial"/>
          <w:szCs w:val="22"/>
        </w:rPr>
        <w:t>593m in 2016/17</w:t>
      </w:r>
      <w:r>
        <w:rPr>
          <w:rFonts w:cs="Arial"/>
          <w:szCs w:val="22"/>
        </w:rPr>
        <w:t xml:space="preserve">) of which </w:t>
      </w:r>
      <w:r w:rsidR="00B92B82">
        <w:rPr>
          <w:rFonts w:cs="Arial"/>
          <w:szCs w:val="22"/>
        </w:rPr>
        <w:t>£5</w:t>
      </w:r>
      <w:r w:rsidRPr="00931613">
        <w:rPr>
          <w:rFonts w:cs="Arial"/>
          <w:szCs w:val="22"/>
        </w:rPr>
        <w:t>.</w:t>
      </w:r>
      <w:r w:rsidR="00985978">
        <w:rPr>
          <w:rFonts w:cs="Arial"/>
          <w:szCs w:val="22"/>
        </w:rPr>
        <w:t>35</w:t>
      </w:r>
      <w:r w:rsidR="00B92B82">
        <w:rPr>
          <w:rFonts w:cs="Arial"/>
          <w:szCs w:val="22"/>
        </w:rPr>
        <w:t>7</w:t>
      </w:r>
      <w:r w:rsidRPr="00931613">
        <w:rPr>
          <w:rFonts w:cs="Arial"/>
          <w:szCs w:val="22"/>
        </w:rPr>
        <w:t xml:space="preserve">m </w:t>
      </w:r>
      <w:r>
        <w:rPr>
          <w:rFonts w:cs="Arial"/>
          <w:szCs w:val="22"/>
        </w:rPr>
        <w:t xml:space="preserve">relates to general balances </w:t>
      </w:r>
      <w:r w:rsidRPr="00931613">
        <w:rPr>
          <w:rFonts w:cs="Arial"/>
          <w:szCs w:val="22"/>
        </w:rPr>
        <w:t>(£</w:t>
      </w:r>
      <w:r w:rsidR="00B92B82">
        <w:rPr>
          <w:rFonts w:cs="Arial"/>
          <w:szCs w:val="22"/>
        </w:rPr>
        <w:t>4</w:t>
      </w:r>
      <w:r w:rsidRPr="00931613">
        <w:rPr>
          <w:rFonts w:cs="Arial"/>
          <w:szCs w:val="22"/>
        </w:rPr>
        <w:t>.</w:t>
      </w:r>
      <w:r w:rsidR="00B92B82">
        <w:rPr>
          <w:rFonts w:cs="Arial"/>
          <w:szCs w:val="22"/>
        </w:rPr>
        <w:t>597</w:t>
      </w:r>
      <w:r w:rsidRPr="00931613">
        <w:rPr>
          <w:rFonts w:cs="Arial"/>
          <w:szCs w:val="22"/>
        </w:rPr>
        <w:t>m in 201</w:t>
      </w:r>
      <w:r w:rsidR="00DF7D67">
        <w:rPr>
          <w:rFonts w:cs="Arial"/>
          <w:szCs w:val="22"/>
        </w:rPr>
        <w:t>6/17</w:t>
      </w:r>
      <w:r w:rsidRPr="00931613">
        <w:rPr>
          <w:rFonts w:cs="Arial"/>
          <w:szCs w:val="22"/>
        </w:rPr>
        <w:t>)</w:t>
      </w:r>
      <w:r>
        <w:rPr>
          <w:rFonts w:cs="Arial"/>
          <w:szCs w:val="22"/>
        </w:rPr>
        <w:t xml:space="preserve"> and £13.</w:t>
      </w:r>
      <w:r w:rsidR="000C5255">
        <w:rPr>
          <w:rFonts w:cs="Arial"/>
          <w:szCs w:val="22"/>
        </w:rPr>
        <w:t>631</w:t>
      </w:r>
      <w:r>
        <w:rPr>
          <w:rFonts w:cs="Arial"/>
          <w:szCs w:val="22"/>
        </w:rPr>
        <w:t>m re</w:t>
      </w:r>
      <w:r w:rsidR="00DF7D67">
        <w:rPr>
          <w:rFonts w:cs="Arial"/>
          <w:szCs w:val="22"/>
        </w:rPr>
        <w:t>lates to Earmarked Reserves (£13</w:t>
      </w:r>
      <w:r>
        <w:rPr>
          <w:rFonts w:cs="Arial"/>
          <w:szCs w:val="22"/>
        </w:rPr>
        <w:t>.</w:t>
      </w:r>
      <w:r w:rsidR="00DF7D67">
        <w:rPr>
          <w:rFonts w:cs="Arial"/>
          <w:szCs w:val="22"/>
        </w:rPr>
        <w:t>996</w:t>
      </w:r>
      <w:r>
        <w:rPr>
          <w:rFonts w:cs="Arial"/>
          <w:szCs w:val="22"/>
        </w:rPr>
        <w:t>m in 201</w:t>
      </w:r>
      <w:r w:rsidR="00DF7D67">
        <w:rPr>
          <w:rFonts w:cs="Arial"/>
          <w:szCs w:val="22"/>
        </w:rPr>
        <w:t>6</w:t>
      </w:r>
      <w:r>
        <w:rPr>
          <w:rFonts w:cs="Arial"/>
          <w:szCs w:val="22"/>
        </w:rPr>
        <w:t>/1</w:t>
      </w:r>
      <w:r w:rsidR="00DF7D67">
        <w:rPr>
          <w:rFonts w:cs="Arial"/>
          <w:szCs w:val="22"/>
        </w:rPr>
        <w:t>7</w:t>
      </w:r>
      <w:r>
        <w:rPr>
          <w:rFonts w:cs="Arial"/>
          <w:szCs w:val="22"/>
        </w:rPr>
        <w:t>)</w:t>
      </w:r>
      <w:r w:rsidRPr="00931613">
        <w:rPr>
          <w:rFonts w:cs="Arial"/>
          <w:szCs w:val="22"/>
        </w:rPr>
        <w:t>. More information about these movements is provided i</w:t>
      </w:r>
      <w:r>
        <w:rPr>
          <w:rFonts w:cs="Arial"/>
          <w:szCs w:val="22"/>
        </w:rPr>
        <w:t>n the Budget Outturn Report 201</w:t>
      </w:r>
      <w:r w:rsidR="00F27D31">
        <w:rPr>
          <w:rFonts w:cs="Arial"/>
          <w:szCs w:val="22"/>
        </w:rPr>
        <w:t>7</w:t>
      </w:r>
      <w:r w:rsidRPr="00931613">
        <w:rPr>
          <w:rFonts w:cs="Arial"/>
          <w:szCs w:val="22"/>
        </w:rPr>
        <w:t>/1</w:t>
      </w:r>
      <w:r w:rsidR="00F27D31">
        <w:rPr>
          <w:rFonts w:cs="Arial"/>
          <w:szCs w:val="22"/>
        </w:rPr>
        <w:t>8</w:t>
      </w:r>
      <w:r w:rsidRPr="00931613">
        <w:rPr>
          <w:rFonts w:cs="Arial"/>
          <w:szCs w:val="22"/>
        </w:rPr>
        <w:t xml:space="preserve"> elsewhere on the agenda.</w:t>
      </w:r>
    </w:p>
    <w:p w:rsidR="00201C5D" w:rsidRPr="00931613" w:rsidRDefault="00201C5D" w:rsidP="00201C5D">
      <w:pPr>
        <w:jc w:val="both"/>
        <w:rPr>
          <w:rFonts w:cs="Arial"/>
          <w:szCs w:val="22"/>
        </w:rPr>
      </w:pPr>
    </w:p>
    <w:p w:rsidR="00201C5D" w:rsidRDefault="00201C5D" w:rsidP="00DF7D67">
      <w:pPr>
        <w:keepNext/>
        <w:numPr>
          <w:ilvl w:val="1"/>
          <w:numId w:val="8"/>
        </w:numPr>
        <w:ind w:hanging="436"/>
        <w:jc w:val="both"/>
        <w:outlineLvl w:val="0"/>
        <w:rPr>
          <w:rFonts w:cs="Arial"/>
          <w:szCs w:val="22"/>
        </w:rPr>
      </w:pPr>
      <w:r w:rsidRPr="003260A6">
        <w:rPr>
          <w:rFonts w:cs="Arial"/>
          <w:szCs w:val="22"/>
        </w:rPr>
        <w:t xml:space="preserve">The sum in the Capital Receipts Reserve </w:t>
      </w:r>
      <w:r w:rsidR="00DF7D67">
        <w:rPr>
          <w:rFonts w:cs="Arial"/>
          <w:szCs w:val="22"/>
        </w:rPr>
        <w:t>de</w:t>
      </w:r>
      <w:r w:rsidRPr="003260A6">
        <w:rPr>
          <w:rFonts w:cs="Arial"/>
          <w:szCs w:val="22"/>
        </w:rPr>
        <w:t>creased by £0.</w:t>
      </w:r>
      <w:r w:rsidR="00DF7D67">
        <w:rPr>
          <w:rFonts w:cs="Arial"/>
          <w:szCs w:val="22"/>
        </w:rPr>
        <w:t>174</w:t>
      </w:r>
      <w:r w:rsidRPr="003260A6">
        <w:rPr>
          <w:rFonts w:cs="Arial"/>
          <w:szCs w:val="22"/>
        </w:rPr>
        <w:t>m to £</w:t>
      </w:r>
      <w:r w:rsidR="00DF7D67">
        <w:rPr>
          <w:rFonts w:cs="Arial"/>
          <w:szCs w:val="22"/>
        </w:rPr>
        <w:t>1</w:t>
      </w:r>
      <w:r w:rsidRPr="003260A6">
        <w:rPr>
          <w:rFonts w:cs="Arial"/>
          <w:szCs w:val="22"/>
        </w:rPr>
        <w:t>.</w:t>
      </w:r>
      <w:r w:rsidR="00DF7D67">
        <w:rPr>
          <w:rFonts w:cs="Arial"/>
          <w:szCs w:val="22"/>
        </w:rPr>
        <w:t>932</w:t>
      </w:r>
      <w:r w:rsidRPr="003260A6">
        <w:rPr>
          <w:rFonts w:cs="Arial"/>
          <w:szCs w:val="22"/>
        </w:rPr>
        <w:t xml:space="preserve">m (in </w:t>
      </w:r>
      <w:r w:rsidR="00DF7D67">
        <w:rPr>
          <w:rFonts w:cs="Arial"/>
          <w:szCs w:val="22"/>
        </w:rPr>
        <w:t>2016/17 this increased by £0.017</w:t>
      </w:r>
      <w:r w:rsidRPr="003260A6">
        <w:rPr>
          <w:rFonts w:cs="Arial"/>
          <w:szCs w:val="22"/>
        </w:rPr>
        <w:t>m to £2.</w:t>
      </w:r>
      <w:r w:rsidR="00DF7D67">
        <w:rPr>
          <w:rFonts w:cs="Arial"/>
          <w:szCs w:val="22"/>
        </w:rPr>
        <w:t>106</w:t>
      </w:r>
      <w:r w:rsidRPr="003260A6">
        <w:rPr>
          <w:rFonts w:cs="Arial"/>
          <w:szCs w:val="22"/>
        </w:rPr>
        <w:t xml:space="preserve">m). This is the result of </w:t>
      </w:r>
      <w:r w:rsidR="00DF7D67">
        <w:rPr>
          <w:rFonts w:cs="Arial"/>
          <w:szCs w:val="22"/>
        </w:rPr>
        <w:t xml:space="preserve">no </w:t>
      </w:r>
      <w:r w:rsidRPr="003260A6">
        <w:rPr>
          <w:rFonts w:cs="Arial"/>
          <w:szCs w:val="22"/>
        </w:rPr>
        <w:t xml:space="preserve">new capital receipts </w:t>
      </w:r>
      <w:r w:rsidR="00DF7D67">
        <w:rPr>
          <w:rFonts w:cs="Arial"/>
          <w:szCs w:val="22"/>
        </w:rPr>
        <w:t xml:space="preserve">and </w:t>
      </w:r>
      <w:r w:rsidRPr="003260A6">
        <w:rPr>
          <w:rFonts w:cs="Arial"/>
          <w:szCs w:val="22"/>
        </w:rPr>
        <w:t>use of capital receipts to fund capital expenditure in 201</w:t>
      </w:r>
      <w:r w:rsidR="00DF7D67">
        <w:rPr>
          <w:rFonts w:cs="Arial"/>
          <w:szCs w:val="22"/>
        </w:rPr>
        <w:t>7</w:t>
      </w:r>
      <w:r w:rsidRPr="003260A6">
        <w:rPr>
          <w:rFonts w:cs="Arial"/>
          <w:szCs w:val="22"/>
        </w:rPr>
        <w:t>/1</w:t>
      </w:r>
      <w:r w:rsidR="00DF7D67">
        <w:rPr>
          <w:rFonts w:cs="Arial"/>
          <w:szCs w:val="22"/>
        </w:rPr>
        <w:t>8</w:t>
      </w:r>
      <w:r w:rsidRPr="003260A6">
        <w:rPr>
          <w:rFonts w:cs="Arial"/>
          <w:szCs w:val="22"/>
        </w:rPr>
        <w:t xml:space="preserve"> of £0.</w:t>
      </w:r>
      <w:r w:rsidR="00DF7D67">
        <w:rPr>
          <w:rFonts w:cs="Arial"/>
          <w:szCs w:val="22"/>
        </w:rPr>
        <w:t>174m</w:t>
      </w:r>
      <w:r w:rsidR="000D01B5">
        <w:rPr>
          <w:rFonts w:cs="Arial"/>
          <w:szCs w:val="22"/>
        </w:rPr>
        <w:t>.  This</w:t>
      </w:r>
      <w:r w:rsidRPr="00BA77A0">
        <w:rPr>
          <w:rFonts w:cs="Arial"/>
          <w:szCs w:val="22"/>
        </w:rPr>
        <w:t xml:space="preserve"> will be carried forward to fund future capital expenditure</w:t>
      </w:r>
      <w:r>
        <w:rPr>
          <w:rFonts w:cs="Arial"/>
          <w:szCs w:val="22"/>
        </w:rPr>
        <w:t>.</w:t>
      </w:r>
    </w:p>
    <w:p w:rsidR="00201C5D" w:rsidRPr="003260A6" w:rsidRDefault="00201C5D" w:rsidP="00201C5D">
      <w:pPr>
        <w:keepNext/>
        <w:jc w:val="both"/>
        <w:outlineLvl w:val="0"/>
        <w:rPr>
          <w:rFonts w:cs="Arial"/>
          <w:szCs w:val="22"/>
        </w:rPr>
      </w:pPr>
    </w:p>
    <w:p w:rsidR="00201C5D" w:rsidRDefault="00201C5D" w:rsidP="00201C5D">
      <w:pPr>
        <w:keepNext/>
        <w:numPr>
          <w:ilvl w:val="1"/>
          <w:numId w:val="8"/>
        </w:numPr>
        <w:ind w:hanging="436"/>
        <w:jc w:val="both"/>
        <w:outlineLvl w:val="0"/>
        <w:rPr>
          <w:rFonts w:cs="Arial"/>
          <w:szCs w:val="22"/>
        </w:rPr>
      </w:pPr>
      <w:r w:rsidRPr="00931613">
        <w:rPr>
          <w:rFonts w:cs="Arial"/>
          <w:szCs w:val="22"/>
        </w:rPr>
        <w:t>The Capital Grants Unapplied Reserve increased by £</w:t>
      </w:r>
      <w:r w:rsidR="00DF7D67">
        <w:rPr>
          <w:rFonts w:cs="Arial"/>
          <w:szCs w:val="22"/>
        </w:rPr>
        <w:t>1</w:t>
      </w:r>
      <w:r>
        <w:rPr>
          <w:rFonts w:cs="Arial"/>
          <w:szCs w:val="22"/>
        </w:rPr>
        <w:t>.</w:t>
      </w:r>
      <w:r w:rsidR="00DF7D67">
        <w:rPr>
          <w:rFonts w:cs="Arial"/>
          <w:szCs w:val="22"/>
        </w:rPr>
        <w:t>662</w:t>
      </w:r>
      <w:r>
        <w:rPr>
          <w:rFonts w:cs="Arial"/>
          <w:szCs w:val="22"/>
        </w:rPr>
        <w:t>m to £</w:t>
      </w:r>
      <w:r w:rsidR="00DF7D67">
        <w:rPr>
          <w:rFonts w:cs="Arial"/>
          <w:szCs w:val="22"/>
        </w:rPr>
        <w:t>8</w:t>
      </w:r>
      <w:r>
        <w:rPr>
          <w:rFonts w:cs="Arial"/>
          <w:szCs w:val="22"/>
        </w:rPr>
        <w:t>.</w:t>
      </w:r>
      <w:r w:rsidR="00DF7D67">
        <w:rPr>
          <w:rFonts w:cs="Arial"/>
          <w:szCs w:val="22"/>
        </w:rPr>
        <w:t>114</w:t>
      </w:r>
      <w:r w:rsidR="000D01B5">
        <w:rPr>
          <w:rFonts w:cs="Arial"/>
          <w:szCs w:val="22"/>
        </w:rPr>
        <w:t xml:space="preserve">m.  </w:t>
      </w:r>
      <w:r w:rsidRPr="00931613">
        <w:rPr>
          <w:rFonts w:cs="Arial"/>
          <w:szCs w:val="22"/>
        </w:rPr>
        <w:t>This is due to receipts and transfers in year of £</w:t>
      </w:r>
      <w:r w:rsidR="00DF7D67">
        <w:rPr>
          <w:rFonts w:cs="Arial"/>
          <w:szCs w:val="22"/>
        </w:rPr>
        <w:t>2.941</w:t>
      </w:r>
      <w:r w:rsidRPr="00931613">
        <w:rPr>
          <w:rFonts w:cs="Arial"/>
          <w:szCs w:val="22"/>
        </w:rPr>
        <w:t>m, £</w:t>
      </w:r>
      <w:r w:rsidR="00F27D31">
        <w:rPr>
          <w:rFonts w:cs="Arial"/>
          <w:szCs w:val="22"/>
        </w:rPr>
        <w:t>1</w:t>
      </w:r>
      <w:r w:rsidRPr="00931613">
        <w:rPr>
          <w:rFonts w:cs="Arial"/>
          <w:szCs w:val="22"/>
        </w:rPr>
        <w:t>.</w:t>
      </w:r>
      <w:r w:rsidR="00F27D31">
        <w:rPr>
          <w:rFonts w:cs="Arial"/>
          <w:szCs w:val="22"/>
        </w:rPr>
        <w:t>279</w:t>
      </w:r>
      <w:r w:rsidRPr="00931613">
        <w:rPr>
          <w:rFonts w:cs="Arial"/>
          <w:szCs w:val="22"/>
        </w:rPr>
        <w:t>m of which were applied to finance capital expenditure in year</w:t>
      </w:r>
      <w:r w:rsidR="00F27D31">
        <w:rPr>
          <w:rFonts w:cs="Arial"/>
          <w:szCs w:val="22"/>
        </w:rPr>
        <w:t xml:space="preserve">. </w:t>
      </w:r>
      <w:r w:rsidRPr="00931613">
        <w:rPr>
          <w:rFonts w:cs="Arial"/>
          <w:szCs w:val="22"/>
        </w:rPr>
        <w:t xml:space="preserve">Again these will be carried forward to fund future capital expenditure. </w:t>
      </w:r>
    </w:p>
    <w:p w:rsidR="00201C5D" w:rsidRDefault="00201C5D" w:rsidP="00201C5D">
      <w:pPr>
        <w:keepNext/>
        <w:jc w:val="both"/>
        <w:outlineLvl w:val="0"/>
        <w:rPr>
          <w:rFonts w:cs="Arial"/>
          <w:szCs w:val="22"/>
        </w:rPr>
      </w:pPr>
    </w:p>
    <w:p w:rsidR="00201C5D" w:rsidRPr="00931613" w:rsidRDefault="00201C5D" w:rsidP="00201C5D">
      <w:pPr>
        <w:keepNext/>
        <w:jc w:val="both"/>
        <w:outlineLvl w:val="0"/>
        <w:rPr>
          <w:rFonts w:cs="Arial"/>
          <w:szCs w:val="22"/>
        </w:rPr>
      </w:pPr>
    </w:p>
    <w:p w:rsidR="00201C5D" w:rsidRDefault="00201C5D" w:rsidP="00201C5D">
      <w:pPr>
        <w:rPr>
          <w:u w:val="single"/>
          <w:lang w:eastAsia="en-US"/>
        </w:rPr>
      </w:pPr>
      <w:r>
        <w:rPr>
          <w:u w:val="single"/>
          <w:lang w:eastAsia="en-US"/>
        </w:rPr>
        <w:br w:type="page"/>
      </w:r>
    </w:p>
    <w:p w:rsidR="00201C5D" w:rsidRPr="001D3551" w:rsidRDefault="00201C5D" w:rsidP="00201C5D">
      <w:pPr>
        <w:pBdr>
          <w:top w:val="single" w:sz="2" w:space="1" w:color="FFFFFF"/>
          <w:left w:val="single" w:sz="2" w:space="0" w:color="FFFFFF"/>
          <w:bottom w:val="single" w:sz="2" w:space="2" w:color="FFFFFF"/>
          <w:right w:val="single" w:sz="2" w:space="4" w:color="FFFFFF"/>
        </w:pBdr>
        <w:tabs>
          <w:tab w:val="left" w:pos="567"/>
        </w:tabs>
        <w:ind w:right="141"/>
        <w:jc w:val="both"/>
        <w:rPr>
          <w:u w:val="single"/>
          <w:lang w:eastAsia="en-US"/>
        </w:rPr>
      </w:pPr>
      <w:r w:rsidRPr="001D3551">
        <w:rPr>
          <w:u w:val="single"/>
          <w:lang w:eastAsia="en-US"/>
        </w:rPr>
        <w:t xml:space="preserve">Balance Sheet </w:t>
      </w:r>
    </w:p>
    <w:p w:rsidR="00201C5D" w:rsidRPr="001D3551" w:rsidRDefault="00201C5D" w:rsidP="00201C5D">
      <w:pPr>
        <w:jc w:val="both"/>
        <w:rPr>
          <w:rFonts w:cs="Arial"/>
          <w:szCs w:val="22"/>
        </w:rPr>
      </w:pPr>
    </w:p>
    <w:p w:rsidR="00201C5D" w:rsidRDefault="00201C5D" w:rsidP="00201C5D">
      <w:pPr>
        <w:keepNext/>
        <w:numPr>
          <w:ilvl w:val="1"/>
          <w:numId w:val="8"/>
        </w:numPr>
        <w:ind w:left="709" w:hanging="425"/>
        <w:jc w:val="both"/>
        <w:outlineLvl w:val="0"/>
        <w:rPr>
          <w:rFonts w:cs="Arial"/>
          <w:szCs w:val="22"/>
        </w:rPr>
      </w:pPr>
      <w:r w:rsidRPr="001D3551">
        <w:rPr>
          <w:rFonts w:cs="Arial"/>
          <w:szCs w:val="22"/>
        </w:rPr>
        <w:t>The Balance Sheet shows the value as at the Balance Sheet date of the assets and liabilities recognised by the authority. It shows the net assets of the authority which are matched by the reserves held.  Reserves are reported in two categories. ‘Usable Reserves’ includes reserves available to provide services and other reserves which may only be used to fund capital expenditure or repay debt. ‘Unusable Reserves’ fall into two categories, the first consists of the Revaluation Reserve which holds unrealised gains and losses in asset values. The second category holds amounts resulting from the “adjustments between the accounting basis and the funding basis”, as shown in the Movement in Reserves Statement.</w:t>
      </w:r>
    </w:p>
    <w:p w:rsidR="00201C5D" w:rsidRPr="001D3551" w:rsidRDefault="00201C5D" w:rsidP="00201C5D">
      <w:pPr>
        <w:keepNext/>
        <w:jc w:val="both"/>
        <w:outlineLvl w:val="0"/>
        <w:rPr>
          <w:rFonts w:cs="Arial"/>
          <w:szCs w:val="22"/>
        </w:rPr>
      </w:pPr>
    </w:p>
    <w:tbl>
      <w:tblPr>
        <w:tblW w:w="826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34"/>
        <w:gridCol w:w="4820"/>
        <w:gridCol w:w="1807"/>
      </w:tblGrid>
      <w:tr w:rsidR="00201C5D" w:rsidRPr="00EC06E7" w:rsidTr="00201C5D">
        <w:trPr>
          <w:trHeight w:val="725"/>
          <w:jc w:val="center"/>
        </w:trPr>
        <w:tc>
          <w:tcPr>
            <w:tcW w:w="1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1C5D" w:rsidRDefault="00201C5D" w:rsidP="00081531">
            <w:pPr>
              <w:jc w:val="center"/>
              <w:rPr>
                <w:rFonts w:cs="Courier New"/>
                <w:b/>
                <w:sz w:val="20"/>
              </w:rPr>
            </w:pPr>
            <w:r>
              <w:rPr>
                <w:rFonts w:cs="Courier New"/>
                <w:b/>
                <w:sz w:val="20"/>
              </w:rPr>
              <w:t>Restated</w:t>
            </w:r>
          </w:p>
          <w:p w:rsidR="00201C5D" w:rsidRPr="00EC06E7" w:rsidRDefault="00201C5D" w:rsidP="00081531">
            <w:pPr>
              <w:jc w:val="center"/>
              <w:rPr>
                <w:rFonts w:cs="Courier New"/>
                <w:b/>
                <w:sz w:val="20"/>
              </w:rPr>
            </w:pPr>
            <w:r>
              <w:rPr>
                <w:rFonts w:cs="Courier New"/>
                <w:b/>
                <w:sz w:val="20"/>
              </w:rPr>
              <w:t>31 March 2017</w:t>
            </w:r>
          </w:p>
          <w:p w:rsidR="00201C5D" w:rsidRPr="00EC06E7" w:rsidRDefault="00201C5D" w:rsidP="00081531">
            <w:pPr>
              <w:jc w:val="center"/>
              <w:rPr>
                <w:rFonts w:cs="Courier New"/>
                <w:b/>
                <w:sz w:val="20"/>
              </w:rPr>
            </w:pPr>
            <w:r w:rsidRPr="00EC06E7">
              <w:rPr>
                <w:rFonts w:cs="Courier New"/>
                <w:b/>
                <w:sz w:val="20"/>
              </w:rPr>
              <w:t>£’000</w:t>
            </w:r>
          </w:p>
        </w:tc>
        <w:tc>
          <w:tcPr>
            <w:tcW w:w="48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1C5D" w:rsidRPr="00EC06E7" w:rsidRDefault="00201C5D" w:rsidP="00081531">
            <w:pPr>
              <w:jc w:val="center"/>
              <w:rPr>
                <w:rFonts w:cs="Courier New"/>
                <w:b/>
                <w:sz w:val="20"/>
              </w:rPr>
            </w:pPr>
          </w:p>
        </w:tc>
        <w:tc>
          <w:tcPr>
            <w:tcW w:w="1807" w:type="dxa"/>
            <w:tcBorders>
              <w:top w:val="single" w:sz="4" w:space="0" w:color="auto"/>
              <w:left w:val="single" w:sz="4" w:space="0" w:color="auto"/>
              <w:bottom w:val="single" w:sz="4" w:space="0" w:color="auto"/>
            </w:tcBorders>
            <w:shd w:val="clear" w:color="auto" w:fill="BDD6EE" w:themeFill="accent1" w:themeFillTint="66"/>
            <w:vAlign w:val="center"/>
          </w:tcPr>
          <w:p w:rsidR="00201C5D" w:rsidRPr="00EC06E7" w:rsidRDefault="00201C5D" w:rsidP="00081531">
            <w:pPr>
              <w:jc w:val="center"/>
              <w:rPr>
                <w:rFonts w:cs="Courier New"/>
                <w:b/>
                <w:sz w:val="20"/>
              </w:rPr>
            </w:pPr>
            <w:r>
              <w:rPr>
                <w:rFonts w:cs="Courier New"/>
                <w:b/>
                <w:sz w:val="20"/>
              </w:rPr>
              <w:t>31 March 2018</w:t>
            </w:r>
          </w:p>
          <w:p w:rsidR="00201C5D" w:rsidRPr="00EC06E7" w:rsidRDefault="00201C5D" w:rsidP="00081531">
            <w:pPr>
              <w:jc w:val="center"/>
              <w:rPr>
                <w:rFonts w:cs="Courier New"/>
                <w:b/>
                <w:sz w:val="20"/>
              </w:rPr>
            </w:pPr>
            <w:r w:rsidRPr="00EC06E7">
              <w:rPr>
                <w:rFonts w:cs="Courier New"/>
                <w:b/>
                <w:sz w:val="20"/>
              </w:rPr>
              <w:t>£’000</w:t>
            </w:r>
          </w:p>
        </w:tc>
      </w:tr>
      <w:tr w:rsidR="00201C5D" w:rsidRPr="00EC06E7" w:rsidTr="00201C5D">
        <w:trPr>
          <w:trHeight w:val="340"/>
          <w:jc w:val="center"/>
        </w:trPr>
        <w:tc>
          <w:tcPr>
            <w:tcW w:w="1634" w:type="dxa"/>
            <w:tcBorders>
              <w:top w:val="single" w:sz="4" w:space="0" w:color="auto"/>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27,690</w:t>
            </w:r>
          </w:p>
        </w:tc>
        <w:tc>
          <w:tcPr>
            <w:tcW w:w="482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Property, Plant &amp; Equipment</w:t>
            </w:r>
          </w:p>
        </w:tc>
        <w:tc>
          <w:tcPr>
            <w:tcW w:w="1807"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Pr>
                <w:rFonts w:cs="Courier New"/>
                <w:sz w:val="20"/>
              </w:rPr>
              <w:t>28</w:t>
            </w:r>
            <w:r w:rsidRPr="00EC06E7">
              <w:rPr>
                <w:rFonts w:cs="Courier New"/>
                <w:sz w:val="20"/>
              </w:rPr>
              <w:t>,</w:t>
            </w:r>
            <w:r>
              <w:rPr>
                <w:rFonts w:cs="Courier New"/>
                <w:sz w:val="20"/>
              </w:rPr>
              <w:t>147</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11,480</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Investment Property</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11,</w:t>
            </w:r>
            <w:r>
              <w:rPr>
                <w:rFonts w:cs="Courier New"/>
                <w:sz w:val="20"/>
              </w:rPr>
              <w:t>332</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168</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Intangible Assets</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Pr>
                <w:rFonts w:cs="Courier New"/>
                <w:sz w:val="20"/>
              </w:rPr>
              <w:t>18</w:t>
            </w:r>
            <w:r w:rsidRPr="00EC06E7">
              <w:rPr>
                <w:rFonts w:cs="Courier New"/>
                <w:sz w:val="20"/>
              </w:rPr>
              <w:t>8</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auto"/>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56</w:t>
            </w:r>
          </w:p>
        </w:tc>
        <w:tc>
          <w:tcPr>
            <w:tcW w:w="482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Long Term Debtors</w:t>
            </w:r>
          </w:p>
        </w:tc>
        <w:tc>
          <w:tcPr>
            <w:tcW w:w="1807"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tabs>
                <w:tab w:val="left" w:pos="1225"/>
              </w:tabs>
              <w:ind w:right="143"/>
              <w:jc w:val="right"/>
              <w:rPr>
                <w:rFonts w:cs="Courier New"/>
                <w:sz w:val="20"/>
              </w:rPr>
            </w:pPr>
            <w:r>
              <w:rPr>
                <w:rFonts w:cs="Courier New"/>
                <w:sz w:val="20"/>
              </w:rPr>
              <w:t>50</w:t>
            </w:r>
          </w:p>
        </w:tc>
      </w:tr>
      <w:tr w:rsidR="00201C5D" w:rsidRPr="00EC06E7" w:rsidTr="00201C5D">
        <w:trPr>
          <w:trHeight w:val="340"/>
          <w:jc w:val="center"/>
        </w:trPr>
        <w:tc>
          <w:tcPr>
            <w:tcW w:w="1634" w:type="dxa"/>
            <w:tcBorders>
              <w:top w:val="single" w:sz="4" w:space="0" w:color="auto"/>
              <w:left w:val="single" w:sz="4" w:space="0" w:color="auto"/>
              <w:bottom w:val="single" w:sz="4" w:space="0" w:color="auto"/>
            </w:tcBorders>
            <w:shd w:val="clear" w:color="auto" w:fill="F2F2F2" w:themeFill="background1" w:themeFillShade="F2"/>
            <w:vAlign w:val="center"/>
          </w:tcPr>
          <w:p w:rsidR="00201C5D" w:rsidRPr="00EC06E7" w:rsidRDefault="00201C5D" w:rsidP="00081531">
            <w:pPr>
              <w:tabs>
                <w:tab w:val="left" w:pos="1225"/>
              </w:tabs>
              <w:ind w:right="143"/>
              <w:jc w:val="right"/>
              <w:rPr>
                <w:rFonts w:cs="Courier New"/>
                <w:b/>
                <w:sz w:val="20"/>
              </w:rPr>
            </w:pPr>
            <w:r w:rsidRPr="00EC06E7">
              <w:rPr>
                <w:rFonts w:cs="Courier New"/>
                <w:b/>
                <w:sz w:val="20"/>
              </w:rPr>
              <w:t>39,394</w:t>
            </w:r>
          </w:p>
        </w:tc>
        <w:tc>
          <w:tcPr>
            <w:tcW w:w="48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20"/>
              </w:rPr>
            </w:pPr>
            <w:r w:rsidRPr="00EC06E7">
              <w:rPr>
                <w:rFonts w:cs="Courier New"/>
                <w:b/>
                <w:sz w:val="20"/>
              </w:rPr>
              <w:t>Long Term Assets</w:t>
            </w:r>
          </w:p>
        </w:tc>
        <w:tc>
          <w:tcPr>
            <w:tcW w:w="1807"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tabs>
                <w:tab w:val="left" w:pos="1225"/>
              </w:tabs>
              <w:ind w:right="143"/>
              <w:jc w:val="right"/>
              <w:rPr>
                <w:rFonts w:cs="Courier New"/>
                <w:b/>
                <w:sz w:val="20"/>
              </w:rPr>
            </w:pPr>
            <w:r w:rsidRPr="00EC06E7">
              <w:rPr>
                <w:rFonts w:cs="Courier New"/>
                <w:b/>
                <w:sz w:val="20"/>
              </w:rPr>
              <w:t>39,</w:t>
            </w:r>
            <w:r>
              <w:rPr>
                <w:rFonts w:cs="Courier New"/>
                <w:b/>
                <w:sz w:val="20"/>
              </w:rPr>
              <w:t>717</w:t>
            </w:r>
          </w:p>
        </w:tc>
      </w:tr>
      <w:tr w:rsidR="00201C5D" w:rsidRPr="00EC06E7" w:rsidTr="00201C5D">
        <w:trPr>
          <w:trHeight w:val="340"/>
          <w:jc w:val="center"/>
        </w:trPr>
        <w:tc>
          <w:tcPr>
            <w:tcW w:w="1634" w:type="dxa"/>
            <w:tcBorders>
              <w:top w:val="single" w:sz="4" w:space="0" w:color="auto"/>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25,047</w:t>
            </w:r>
          </w:p>
        </w:tc>
        <w:tc>
          <w:tcPr>
            <w:tcW w:w="482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Short Term Investments</w:t>
            </w:r>
          </w:p>
        </w:tc>
        <w:tc>
          <w:tcPr>
            <w:tcW w:w="1807"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Pr>
                <w:rFonts w:cs="Courier New"/>
                <w:sz w:val="20"/>
              </w:rPr>
              <w:t>27</w:t>
            </w:r>
            <w:r w:rsidRPr="00EC06E7">
              <w:rPr>
                <w:rFonts w:cs="Courier New"/>
                <w:sz w:val="20"/>
              </w:rPr>
              <w:t>,04</w:t>
            </w:r>
            <w:r>
              <w:rPr>
                <w:rFonts w:cs="Courier New"/>
                <w:sz w:val="20"/>
              </w:rPr>
              <w:t>4</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97</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Inventories</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Pr>
                <w:rFonts w:cs="Courier New"/>
                <w:sz w:val="20"/>
              </w:rPr>
              <w:t>8</w:t>
            </w:r>
            <w:r w:rsidRPr="00EC06E7">
              <w:rPr>
                <w:rFonts w:cs="Courier New"/>
                <w:sz w:val="20"/>
              </w:rPr>
              <w:t>7</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2,636</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Short Term Debtors</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Pr>
                <w:rFonts w:cs="Courier New"/>
                <w:sz w:val="20"/>
              </w:rPr>
              <w:t>3</w:t>
            </w:r>
            <w:r w:rsidRPr="00EC06E7">
              <w:rPr>
                <w:rFonts w:cs="Courier New"/>
                <w:sz w:val="20"/>
              </w:rPr>
              <w:t>,</w:t>
            </w:r>
            <w:r>
              <w:rPr>
                <w:rFonts w:cs="Courier New"/>
                <w:sz w:val="20"/>
              </w:rPr>
              <w:t>728</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auto"/>
            </w:tcBorders>
            <w:vAlign w:val="center"/>
          </w:tcPr>
          <w:p w:rsidR="00201C5D" w:rsidRPr="00EC06E7" w:rsidRDefault="00201C5D" w:rsidP="00081531">
            <w:pPr>
              <w:tabs>
                <w:tab w:val="left" w:pos="1225"/>
              </w:tabs>
              <w:ind w:right="143"/>
              <w:jc w:val="right"/>
              <w:rPr>
                <w:rFonts w:cs="Courier New"/>
                <w:sz w:val="20"/>
              </w:rPr>
            </w:pPr>
            <w:r>
              <w:rPr>
                <w:rFonts w:cs="Courier New"/>
                <w:sz w:val="20"/>
              </w:rPr>
              <w:t>3,714</w:t>
            </w:r>
          </w:p>
        </w:tc>
        <w:tc>
          <w:tcPr>
            <w:tcW w:w="482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Cash and Cash Equivalents</w:t>
            </w:r>
          </w:p>
        </w:tc>
        <w:tc>
          <w:tcPr>
            <w:tcW w:w="1807"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tabs>
                <w:tab w:val="left" w:pos="1225"/>
              </w:tabs>
              <w:ind w:right="143"/>
              <w:jc w:val="right"/>
              <w:rPr>
                <w:rFonts w:cs="Courier New"/>
                <w:sz w:val="20"/>
              </w:rPr>
            </w:pPr>
            <w:r>
              <w:rPr>
                <w:rFonts w:cs="Courier New"/>
                <w:sz w:val="20"/>
              </w:rPr>
              <w:t>4</w:t>
            </w:r>
            <w:r w:rsidRPr="00EC06E7">
              <w:rPr>
                <w:rFonts w:cs="Courier New"/>
                <w:sz w:val="20"/>
              </w:rPr>
              <w:t>,</w:t>
            </w:r>
            <w:r>
              <w:rPr>
                <w:rFonts w:cs="Courier New"/>
                <w:sz w:val="20"/>
              </w:rPr>
              <w:t>670</w:t>
            </w:r>
          </w:p>
        </w:tc>
      </w:tr>
      <w:tr w:rsidR="00201C5D" w:rsidRPr="00EC06E7" w:rsidTr="00201C5D">
        <w:trPr>
          <w:trHeight w:val="340"/>
          <w:jc w:val="center"/>
        </w:trPr>
        <w:tc>
          <w:tcPr>
            <w:tcW w:w="1634" w:type="dxa"/>
            <w:tcBorders>
              <w:top w:val="single" w:sz="4" w:space="0" w:color="auto"/>
              <w:left w:val="single" w:sz="4" w:space="0" w:color="auto"/>
              <w:bottom w:val="single" w:sz="4" w:space="0" w:color="auto"/>
            </w:tcBorders>
            <w:shd w:val="clear" w:color="auto" w:fill="F2F2F2" w:themeFill="background1" w:themeFillShade="F2"/>
            <w:vAlign w:val="center"/>
          </w:tcPr>
          <w:p w:rsidR="00201C5D" w:rsidRPr="00EC06E7" w:rsidRDefault="00201C5D" w:rsidP="00081531">
            <w:pPr>
              <w:tabs>
                <w:tab w:val="left" w:pos="1225"/>
              </w:tabs>
              <w:ind w:right="143"/>
              <w:jc w:val="right"/>
              <w:rPr>
                <w:rFonts w:cs="Courier New"/>
                <w:b/>
                <w:sz w:val="20"/>
              </w:rPr>
            </w:pPr>
            <w:r>
              <w:rPr>
                <w:rFonts w:cs="Courier New"/>
                <w:b/>
                <w:sz w:val="20"/>
              </w:rPr>
              <w:t>31,494</w:t>
            </w:r>
          </w:p>
        </w:tc>
        <w:tc>
          <w:tcPr>
            <w:tcW w:w="48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20"/>
              </w:rPr>
            </w:pPr>
            <w:r w:rsidRPr="00EC06E7">
              <w:rPr>
                <w:rFonts w:cs="Courier New"/>
                <w:b/>
                <w:sz w:val="20"/>
              </w:rPr>
              <w:t>Current Assets</w:t>
            </w:r>
          </w:p>
        </w:tc>
        <w:tc>
          <w:tcPr>
            <w:tcW w:w="1807"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tabs>
                <w:tab w:val="left" w:pos="1225"/>
              </w:tabs>
              <w:ind w:right="143"/>
              <w:jc w:val="right"/>
              <w:rPr>
                <w:rFonts w:cs="Courier New"/>
                <w:b/>
                <w:sz w:val="20"/>
              </w:rPr>
            </w:pPr>
            <w:r>
              <w:rPr>
                <w:rFonts w:cs="Courier New"/>
                <w:b/>
                <w:sz w:val="20"/>
              </w:rPr>
              <w:t>35</w:t>
            </w:r>
            <w:r w:rsidRPr="00EC06E7">
              <w:rPr>
                <w:rFonts w:cs="Courier New"/>
                <w:b/>
                <w:sz w:val="20"/>
              </w:rPr>
              <w:t>,</w:t>
            </w:r>
            <w:r>
              <w:rPr>
                <w:rFonts w:cs="Courier New"/>
                <w:b/>
                <w:sz w:val="20"/>
              </w:rPr>
              <w:t>529</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(6,540)</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Short Term Creditors</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Pr>
                <w:rFonts w:cs="Courier New"/>
                <w:sz w:val="20"/>
              </w:rPr>
              <w:t>(7</w:t>
            </w:r>
            <w:r w:rsidRPr="00EC06E7">
              <w:rPr>
                <w:rFonts w:cs="Courier New"/>
                <w:sz w:val="20"/>
              </w:rPr>
              <w:t>,</w:t>
            </w:r>
            <w:r>
              <w:rPr>
                <w:rFonts w:cs="Courier New"/>
                <w:sz w:val="20"/>
              </w:rPr>
              <w:t>902</w:t>
            </w:r>
            <w:r w:rsidRPr="00EC06E7">
              <w:rPr>
                <w:rFonts w:cs="Courier New"/>
                <w:sz w:val="20"/>
              </w:rPr>
              <w:t>)</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auto"/>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(1,200)</w:t>
            </w:r>
          </w:p>
        </w:tc>
        <w:tc>
          <w:tcPr>
            <w:tcW w:w="482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Provisions</w:t>
            </w:r>
          </w:p>
        </w:tc>
        <w:tc>
          <w:tcPr>
            <w:tcW w:w="1807"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(1,</w:t>
            </w:r>
            <w:r>
              <w:rPr>
                <w:rFonts w:cs="Courier New"/>
                <w:sz w:val="20"/>
              </w:rPr>
              <w:t>700</w:t>
            </w:r>
            <w:r w:rsidRPr="00EC06E7">
              <w:rPr>
                <w:rFonts w:cs="Courier New"/>
                <w:sz w:val="20"/>
              </w:rPr>
              <w:t>)</w:t>
            </w:r>
          </w:p>
        </w:tc>
      </w:tr>
      <w:tr w:rsidR="00201C5D" w:rsidRPr="00EC06E7" w:rsidTr="00201C5D">
        <w:trPr>
          <w:trHeight w:val="340"/>
          <w:jc w:val="center"/>
        </w:trPr>
        <w:tc>
          <w:tcPr>
            <w:tcW w:w="1634" w:type="dxa"/>
            <w:tcBorders>
              <w:top w:val="single" w:sz="4" w:space="0" w:color="auto"/>
              <w:left w:val="single" w:sz="4" w:space="0" w:color="auto"/>
              <w:bottom w:val="single" w:sz="4" w:space="0" w:color="auto"/>
            </w:tcBorders>
            <w:shd w:val="clear" w:color="auto" w:fill="F2F2F2" w:themeFill="background1" w:themeFillShade="F2"/>
            <w:vAlign w:val="center"/>
          </w:tcPr>
          <w:p w:rsidR="00201C5D" w:rsidRPr="00EC06E7" w:rsidRDefault="00201C5D" w:rsidP="00081531">
            <w:pPr>
              <w:tabs>
                <w:tab w:val="left" w:pos="1225"/>
              </w:tabs>
              <w:ind w:right="143"/>
              <w:jc w:val="right"/>
              <w:rPr>
                <w:rFonts w:cs="Courier New"/>
                <w:b/>
                <w:sz w:val="20"/>
              </w:rPr>
            </w:pPr>
            <w:r>
              <w:rPr>
                <w:rFonts w:cs="Courier New"/>
                <w:b/>
                <w:sz w:val="20"/>
              </w:rPr>
              <w:t>(7,740</w:t>
            </w:r>
            <w:r w:rsidRPr="00EC06E7">
              <w:rPr>
                <w:rFonts w:cs="Courier New"/>
                <w:b/>
                <w:sz w:val="20"/>
              </w:rPr>
              <w:t>)</w:t>
            </w:r>
          </w:p>
        </w:tc>
        <w:tc>
          <w:tcPr>
            <w:tcW w:w="48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20"/>
              </w:rPr>
            </w:pPr>
            <w:r w:rsidRPr="00EC06E7">
              <w:rPr>
                <w:rFonts w:cs="Courier New"/>
                <w:b/>
                <w:sz w:val="20"/>
              </w:rPr>
              <w:t>Current Liabilities</w:t>
            </w:r>
          </w:p>
        </w:tc>
        <w:tc>
          <w:tcPr>
            <w:tcW w:w="1807"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tabs>
                <w:tab w:val="left" w:pos="1225"/>
              </w:tabs>
              <w:ind w:right="143"/>
              <w:jc w:val="right"/>
              <w:rPr>
                <w:rFonts w:cs="Courier New"/>
                <w:b/>
                <w:sz w:val="20"/>
              </w:rPr>
            </w:pPr>
            <w:r>
              <w:rPr>
                <w:rFonts w:cs="Courier New"/>
                <w:b/>
                <w:sz w:val="20"/>
              </w:rPr>
              <w:t>(9</w:t>
            </w:r>
            <w:r w:rsidRPr="00EC06E7">
              <w:rPr>
                <w:rFonts w:cs="Courier New"/>
                <w:b/>
                <w:sz w:val="20"/>
              </w:rPr>
              <w:t>,</w:t>
            </w:r>
            <w:r>
              <w:rPr>
                <w:rFonts w:cs="Courier New"/>
                <w:b/>
                <w:sz w:val="20"/>
              </w:rPr>
              <w:t>602</w:t>
            </w:r>
            <w:r w:rsidRPr="00EC06E7">
              <w:rPr>
                <w:rFonts w:cs="Courier New"/>
                <w:b/>
                <w:sz w:val="20"/>
              </w:rPr>
              <w:t>)</w:t>
            </w:r>
          </w:p>
        </w:tc>
      </w:tr>
      <w:tr w:rsidR="00201C5D" w:rsidRPr="00EC06E7" w:rsidTr="00201C5D">
        <w:trPr>
          <w:trHeight w:val="340"/>
          <w:jc w:val="center"/>
        </w:trPr>
        <w:tc>
          <w:tcPr>
            <w:tcW w:w="1634" w:type="dxa"/>
            <w:tcBorders>
              <w:top w:val="single" w:sz="4" w:space="0" w:color="auto"/>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(221)</w:t>
            </w:r>
          </w:p>
        </w:tc>
        <w:tc>
          <w:tcPr>
            <w:tcW w:w="482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Long Term Creditors</w:t>
            </w:r>
          </w:p>
        </w:tc>
        <w:tc>
          <w:tcPr>
            <w:tcW w:w="1807"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(2</w:t>
            </w:r>
            <w:r>
              <w:rPr>
                <w:rFonts w:cs="Courier New"/>
                <w:sz w:val="20"/>
              </w:rPr>
              <w:t>17</w:t>
            </w:r>
            <w:r w:rsidRPr="00EC06E7">
              <w:rPr>
                <w:rFonts w:cs="Courier New"/>
                <w:sz w:val="20"/>
              </w:rPr>
              <w:t>)</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(645)</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Other Long Term Liabilities</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w:t>
            </w:r>
            <w:r>
              <w:rPr>
                <w:rFonts w:cs="Courier New"/>
                <w:sz w:val="20"/>
              </w:rPr>
              <w:t>596</w:t>
            </w:r>
            <w:r w:rsidRPr="00EC06E7">
              <w:rPr>
                <w:rFonts w:cs="Courier New"/>
                <w:sz w:val="20"/>
              </w:rPr>
              <w:t>)</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(36,703)</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Net Pension Liability</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Pr>
                <w:rFonts w:cs="Courier New"/>
                <w:sz w:val="20"/>
              </w:rPr>
              <w:t>(32</w:t>
            </w:r>
            <w:r w:rsidRPr="00EC06E7">
              <w:rPr>
                <w:rFonts w:cs="Courier New"/>
                <w:sz w:val="20"/>
              </w:rPr>
              <w:t>,</w:t>
            </w:r>
            <w:r>
              <w:rPr>
                <w:rFonts w:cs="Courier New"/>
                <w:sz w:val="20"/>
              </w:rPr>
              <w:t>961</w:t>
            </w:r>
            <w:r w:rsidRPr="00EC06E7">
              <w:rPr>
                <w:rFonts w:cs="Courier New"/>
                <w:sz w:val="20"/>
              </w:rPr>
              <w:t>)</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(794)</w:t>
            </w:r>
          </w:p>
        </w:tc>
        <w:tc>
          <w:tcPr>
            <w:tcW w:w="482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Grant Receipts in Advance - Capital</w:t>
            </w:r>
          </w:p>
        </w:tc>
        <w:tc>
          <w:tcPr>
            <w:tcW w:w="1807"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w:t>
            </w:r>
            <w:r>
              <w:rPr>
                <w:rFonts w:cs="Courier New"/>
                <w:sz w:val="20"/>
              </w:rPr>
              <w:t>558</w:t>
            </w:r>
            <w:r w:rsidRPr="00EC06E7">
              <w:rPr>
                <w:rFonts w:cs="Courier New"/>
                <w:sz w:val="20"/>
              </w:rPr>
              <w:t>)</w:t>
            </w:r>
          </w:p>
        </w:tc>
      </w:tr>
      <w:tr w:rsidR="00201C5D" w:rsidRPr="00EC06E7" w:rsidTr="00201C5D">
        <w:trPr>
          <w:trHeight w:val="340"/>
          <w:jc w:val="center"/>
        </w:trPr>
        <w:tc>
          <w:tcPr>
            <w:tcW w:w="1634" w:type="dxa"/>
            <w:tcBorders>
              <w:top w:val="single" w:sz="4" w:space="0" w:color="auto"/>
              <w:left w:val="single" w:sz="4" w:space="0" w:color="auto"/>
              <w:bottom w:val="single" w:sz="4" w:space="0" w:color="auto"/>
            </w:tcBorders>
            <w:shd w:val="clear" w:color="auto" w:fill="F2F2F2" w:themeFill="background1" w:themeFillShade="F2"/>
            <w:vAlign w:val="center"/>
          </w:tcPr>
          <w:p w:rsidR="00201C5D" w:rsidRPr="00EC06E7" w:rsidRDefault="00201C5D" w:rsidP="00081531">
            <w:pPr>
              <w:tabs>
                <w:tab w:val="left" w:pos="1225"/>
              </w:tabs>
              <w:ind w:right="143"/>
              <w:jc w:val="right"/>
              <w:rPr>
                <w:rFonts w:cs="Courier New"/>
                <w:b/>
                <w:sz w:val="20"/>
              </w:rPr>
            </w:pPr>
            <w:r w:rsidRPr="00EC06E7">
              <w:rPr>
                <w:rFonts w:cs="Courier New"/>
                <w:b/>
                <w:sz w:val="20"/>
              </w:rPr>
              <w:t>(38,363)</w:t>
            </w:r>
          </w:p>
        </w:tc>
        <w:tc>
          <w:tcPr>
            <w:tcW w:w="48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20"/>
              </w:rPr>
            </w:pPr>
            <w:r w:rsidRPr="00EC06E7">
              <w:rPr>
                <w:rFonts w:cs="Courier New"/>
                <w:b/>
                <w:sz w:val="20"/>
              </w:rPr>
              <w:t>Long Term Liabilities</w:t>
            </w:r>
          </w:p>
        </w:tc>
        <w:tc>
          <w:tcPr>
            <w:tcW w:w="1807"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tabs>
                <w:tab w:val="left" w:pos="1225"/>
              </w:tabs>
              <w:ind w:right="143"/>
              <w:jc w:val="right"/>
              <w:rPr>
                <w:rFonts w:cs="Courier New"/>
                <w:b/>
                <w:sz w:val="20"/>
              </w:rPr>
            </w:pPr>
            <w:r>
              <w:rPr>
                <w:rFonts w:cs="Courier New"/>
                <w:b/>
                <w:sz w:val="20"/>
              </w:rPr>
              <w:t>(34</w:t>
            </w:r>
            <w:r w:rsidRPr="00EC06E7">
              <w:rPr>
                <w:rFonts w:cs="Courier New"/>
                <w:b/>
                <w:sz w:val="20"/>
              </w:rPr>
              <w:t>,</w:t>
            </w:r>
            <w:r>
              <w:rPr>
                <w:rFonts w:cs="Courier New"/>
                <w:b/>
                <w:sz w:val="20"/>
              </w:rPr>
              <w:t>332</w:t>
            </w:r>
            <w:r w:rsidRPr="00EC06E7">
              <w:rPr>
                <w:rFonts w:cs="Courier New"/>
                <w:b/>
                <w:sz w:val="20"/>
              </w:rPr>
              <w:t>)</w:t>
            </w:r>
          </w:p>
        </w:tc>
      </w:tr>
      <w:tr w:rsidR="00201C5D" w:rsidRPr="00EC06E7" w:rsidTr="00201C5D">
        <w:trPr>
          <w:trHeight w:val="340"/>
          <w:jc w:val="center"/>
        </w:trPr>
        <w:tc>
          <w:tcPr>
            <w:tcW w:w="1634" w:type="dxa"/>
            <w:tcBorders>
              <w:top w:val="single" w:sz="4" w:space="0" w:color="auto"/>
              <w:left w:val="single" w:sz="4" w:space="0" w:color="auto"/>
              <w:bottom w:val="single" w:sz="4" w:space="0" w:color="auto"/>
            </w:tcBorders>
            <w:shd w:val="clear" w:color="auto" w:fill="D9D9D9" w:themeFill="background1" w:themeFillShade="D9"/>
            <w:vAlign w:val="center"/>
          </w:tcPr>
          <w:p w:rsidR="00201C5D" w:rsidRPr="00EC06E7" w:rsidRDefault="00201C5D" w:rsidP="00081531">
            <w:pPr>
              <w:tabs>
                <w:tab w:val="left" w:pos="1225"/>
              </w:tabs>
              <w:ind w:right="143"/>
              <w:jc w:val="right"/>
              <w:rPr>
                <w:rFonts w:cs="Courier New"/>
                <w:b/>
                <w:sz w:val="20"/>
              </w:rPr>
            </w:pPr>
            <w:r w:rsidRPr="00EC06E7">
              <w:rPr>
                <w:rFonts w:cs="Courier New"/>
                <w:b/>
                <w:sz w:val="20"/>
              </w:rPr>
              <w:t>24,785</w:t>
            </w:r>
          </w:p>
        </w:tc>
        <w:tc>
          <w:tcPr>
            <w:tcW w:w="48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rPr>
                <w:rFonts w:cs="Courier New"/>
                <w:b/>
                <w:sz w:val="20"/>
              </w:rPr>
            </w:pPr>
            <w:r w:rsidRPr="00EC06E7">
              <w:rPr>
                <w:rFonts w:cs="Courier New"/>
                <w:b/>
                <w:sz w:val="20"/>
              </w:rPr>
              <w:t>Net Assets</w:t>
            </w:r>
          </w:p>
        </w:tc>
        <w:tc>
          <w:tcPr>
            <w:tcW w:w="1807" w:type="dxa"/>
            <w:tcBorders>
              <w:top w:val="single" w:sz="4" w:space="0" w:color="auto"/>
              <w:left w:val="single" w:sz="4" w:space="0" w:color="BFBFBF" w:themeColor="background1" w:themeShade="BF"/>
              <w:bottom w:val="single" w:sz="4" w:space="0" w:color="auto"/>
            </w:tcBorders>
            <w:shd w:val="clear" w:color="auto" w:fill="D9D9D9" w:themeFill="background1" w:themeFillShade="D9"/>
            <w:vAlign w:val="center"/>
          </w:tcPr>
          <w:p w:rsidR="00201C5D" w:rsidRPr="00EC06E7" w:rsidRDefault="00201C5D" w:rsidP="00081531">
            <w:pPr>
              <w:tabs>
                <w:tab w:val="left" w:pos="1225"/>
              </w:tabs>
              <w:ind w:right="143"/>
              <w:jc w:val="right"/>
              <w:rPr>
                <w:rFonts w:cs="Courier New"/>
                <w:b/>
                <w:sz w:val="20"/>
              </w:rPr>
            </w:pPr>
            <w:r>
              <w:rPr>
                <w:rFonts w:cs="Courier New"/>
                <w:b/>
                <w:sz w:val="20"/>
              </w:rPr>
              <w:t>31</w:t>
            </w:r>
            <w:r w:rsidRPr="00EC06E7">
              <w:rPr>
                <w:rFonts w:cs="Courier New"/>
                <w:b/>
                <w:sz w:val="20"/>
              </w:rPr>
              <w:t>,</w:t>
            </w:r>
            <w:r>
              <w:rPr>
                <w:rFonts w:cs="Courier New"/>
                <w:b/>
                <w:sz w:val="20"/>
              </w:rPr>
              <w:t>312</w:t>
            </w:r>
          </w:p>
        </w:tc>
      </w:tr>
      <w:tr w:rsidR="00201C5D" w:rsidRPr="00EC06E7" w:rsidTr="00201C5D">
        <w:trPr>
          <w:trHeight w:val="340"/>
          <w:jc w:val="center"/>
        </w:trPr>
        <w:tc>
          <w:tcPr>
            <w:tcW w:w="1634" w:type="dxa"/>
            <w:tcBorders>
              <w:top w:val="single" w:sz="4" w:space="0" w:color="auto"/>
              <w:left w:val="single" w:sz="4" w:space="0" w:color="auto"/>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(27,150)</w:t>
            </w:r>
          </w:p>
        </w:tc>
        <w:tc>
          <w:tcPr>
            <w:tcW w:w="482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Usable Reserves</w:t>
            </w:r>
          </w:p>
        </w:tc>
        <w:tc>
          <w:tcPr>
            <w:tcW w:w="1807"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tabs>
                <w:tab w:val="left" w:pos="1225"/>
              </w:tabs>
              <w:ind w:right="143"/>
              <w:jc w:val="right"/>
              <w:rPr>
                <w:rFonts w:cs="Courier New"/>
                <w:sz w:val="20"/>
              </w:rPr>
            </w:pPr>
            <w:r>
              <w:rPr>
                <w:rFonts w:cs="Courier New"/>
                <w:sz w:val="20"/>
              </w:rPr>
              <w:t>(29</w:t>
            </w:r>
            <w:r w:rsidRPr="00EC06E7">
              <w:rPr>
                <w:rFonts w:cs="Courier New"/>
                <w:sz w:val="20"/>
              </w:rPr>
              <w:t>,</w:t>
            </w:r>
            <w:r>
              <w:rPr>
                <w:rFonts w:cs="Courier New"/>
                <w:sz w:val="20"/>
              </w:rPr>
              <w:t>033</w:t>
            </w:r>
            <w:r w:rsidRPr="00EC06E7">
              <w:rPr>
                <w:rFonts w:cs="Courier New"/>
                <w:sz w:val="20"/>
              </w:rPr>
              <w:t>)</w:t>
            </w:r>
          </w:p>
        </w:tc>
      </w:tr>
      <w:tr w:rsidR="00201C5D" w:rsidRPr="00EC06E7" w:rsidTr="00201C5D">
        <w:trPr>
          <w:trHeight w:val="340"/>
          <w:jc w:val="center"/>
        </w:trPr>
        <w:tc>
          <w:tcPr>
            <w:tcW w:w="1634" w:type="dxa"/>
            <w:tcBorders>
              <w:top w:val="single" w:sz="4" w:space="0" w:color="BFBFBF" w:themeColor="background1" w:themeShade="BF"/>
              <w:left w:val="single" w:sz="4" w:space="0" w:color="auto"/>
              <w:bottom w:val="single" w:sz="4" w:space="0" w:color="auto"/>
            </w:tcBorders>
            <w:vAlign w:val="center"/>
          </w:tcPr>
          <w:p w:rsidR="00201C5D" w:rsidRPr="00EC06E7" w:rsidRDefault="00201C5D" w:rsidP="00081531">
            <w:pPr>
              <w:tabs>
                <w:tab w:val="left" w:pos="1225"/>
              </w:tabs>
              <w:ind w:right="143"/>
              <w:jc w:val="right"/>
              <w:rPr>
                <w:rFonts w:cs="Courier New"/>
                <w:sz w:val="20"/>
              </w:rPr>
            </w:pPr>
            <w:r w:rsidRPr="00EC06E7">
              <w:rPr>
                <w:rFonts w:cs="Courier New"/>
                <w:sz w:val="20"/>
              </w:rPr>
              <w:t>2,365</w:t>
            </w:r>
          </w:p>
        </w:tc>
        <w:tc>
          <w:tcPr>
            <w:tcW w:w="482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20"/>
              </w:rPr>
            </w:pPr>
            <w:r w:rsidRPr="00EC06E7">
              <w:rPr>
                <w:rFonts w:cs="Courier New"/>
                <w:sz w:val="20"/>
              </w:rPr>
              <w:t>Unusable Reserves</w:t>
            </w:r>
          </w:p>
        </w:tc>
        <w:tc>
          <w:tcPr>
            <w:tcW w:w="1807"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tabs>
                <w:tab w:val="left" w:pos="1225"/>
              </w:tabs>
              <w:ind w:right="143"/>
              <w:jc w:val="right"/>
              <w:rPr>
                <w:rFonts w:cs="Courier New"/>
                <w:sz w:val="20"/>
              </w:rPr>
            </w:pPr>
            <w:r>
              <w:rPr>
                <w:rFonts w:cs="Courier New"/>
                <w:sz w:val="20"/>
              </w:rPr>
              <w:t>2,279</w:t>
            </w:r>
          </w:p>
        </w:tc>
      </w:tr>
      <w:tr w:rsidR="00201C5D" w:rsidRPr="00EC06E7" w:rsidTr="00201C5D">
        <w:trPr>
          <w:trHeight w:val="340"/>
          <w:jc w:val="center"/>
        </w:trPr>
        <w:tc>
          <w:tcPr>
            <w:tcW w:w="1634" w:type="dxa"/>
            <w:tcBorders>
              <w:top w:val="single" w:sz="4" w:space="0" w:color="auto"/>
              <w:left w:val="single" w:sz="4" w:space="0" w:color="auto"/>
              <w:bottom w:val="single" w:sz="4" w:space="0" w:color="auto"/>
            </w:tcBorders>
            <w:shd w:val="clear" w:color="auto" w:fill="D9D9D9" w:themeFill="background1" w:themeFillShade="D9"/>
            <w:vAlign w:val="center"/>
          </w:tcPr>
          <w:p w:rsidR="00201C5D" w:rsidRPr="00EC06E7" w:rsidRDefault="00201C5D" w:rsidP="00081531">
            <w:pPr>
              <w:tabs>
                <w:tab w:val="left" w:pos="1225"/>
              </w:tabs>
              <w:ind w:right="143"/>
              <w:jc w:val="right"/>
              <w:rPr>
                <w:rFonts w:cs="Courier New"/>
                <w:b/>
                <w:sz w:val="20"/>
              </w:rPr>
            </w:pPr>
            <w:r w:rsidRPr="00EC06E7">
              <w:rPr>
                <w:rFonts w:cs="Courier New"/>
                <w:b/>
                <w:sz w:val="20"/>
              </w:rPr>
              <w:t>(24,785)</w:t>
            </w:r>
          </w:p>
        </w:tc>
        <w:tc>
          <w:tcPr>
            <w:tcW w:w="48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rPr>
                <w:rFonts w:cs="Courier New"/>
                <w:b/>
                <w:sz w:val="20"/>
              </w:rPr>
            </w:pPr>
            <w:r w:rsidRPr="00EC06E7">
              <w:rPr>
                <w:rFonts w:cs="Courier New"/>
                <w:b/>
                <w:sz w:val="20"/>
              </w:rPr>
              <w:t>Total Reserves</w:t>
            </w:r>
          </w:p>
        </w:tc>
        <w:tc>
          <w:tcPr>
            <w:tcW w:w="1807" w:type="dxa"/>
            <w:tcBorders>
              <w:top w:val="single" w:sz="4" w:space="0" w:color="auto"/>
              <w:left w:val="single" w:sz="4" w:space="0" w:color="BFBFBF" w:themeColor="background1" w:themeShade="BF"/>
              <w:bottom w:val="single" w:sz="4" w:space="0" w:color="auto"/>
            </w:tcBorders>
            <w:shd w:val="clear" w:color="auto" w:fill="D9D9D9" w:themeFill="background1" w:themeFillShade="D9"/>
            <w:vAlign w:val="center"/>
          </w:tcPr>
          <w:p w:rsidR="00201C5D" w:rsidRPr="00EC06E7" w:rsidRDefault="00201C5D" w:rsidP="00081531">
            <w:pPr>
              <w:tabs>
                <w:tab w:val="left" w:pos="1225"/>
              </w:tabs>
              <w:ind w:right="143"/>
              <w:jc w:val="right"/>
              <w:rPr>
                <w:rFonts w:cs="Courier New"/>
                <w:b/>
                <w:sz w:val="20"/>
              </w:rPr>
            </w:pPr>
            <w:r w:rsidRPr="00EC06E7">
              <w:rPr>
                <w:rFonts w:cs="Courier New"/>
                <w:b/>
                <w:sz w:val="20"/>
              </w:rPr>
              <w:t>(</w:t>
            </w:r>
            <w:r>
              <w:rPr>
                <w:rFonts w:cs="Courier New"/>
                <w:b/>
                <w:sz w:val="20"/>
              </w:rPr>
              <w:t>31</w:t>
            </w:r>
            <w:r w:rsidRPr="00EC06E7">
              <w:rPr>
                <w:rFonts w:cs="Courier New"/>
                <w:b/>
                <w:sz w:val="20"/>
              </w:rPr>
              <w:t>,</w:t>
            </w:r>
            <w:r>
              <w:rPr>
                <w:rFonts w:cs="Courier New"/>
                <w:b/>
                <w:sz w:val="20"/>
              </w:rPr>
              <w:t>312</w:t>
            </w:r>
            <w:r w:rsidRPr="00EC06E7">
              <w:rPr>
                <w:rFonts w:cs="Courier New"/>
                <w:b/>
                <w:sz w:val="20"/>
              </w:rPr>
              <w:t>)</w:t>
            </w:r>
          </w:p>
        </w:tc>
      </w:tr>
    </w:tbl>
    <w:p w:rsidR="00201C5D" w:rsidRPr="001D3551" w:rsidRDefault="00201C5D" w:rsidP="00201C5D">
      <w:pPr>
        <w:rPr>
          <w:rFonts w:cs="Courier New"/>
          <w:color w:val="FF0000"/>
          <w:szCs w:val="22"/>
          <w:highlight w:val="yellow"/>
        </w:rPr>
      </w:pPr>
    </w:p>
    <w:p w:rsidR="00201C5D" w:rsidRPr="001D3551" w:rsidRDefault="00201C5D" w:rsidP="00201C5D">
      <w:pPr>
        <w:rPr>
          <w:rFonts w:cs="Arial"/>
          <w:b/>
          <w:color w:val="FF0000"/>
          <w:szCs w:val="22"/>
          <w:highlight w:val="yellow"/>
        </w:rPr>
      </w:pPr>
    </w:p>
    <w:p w:rsidR="00201C5D" w:rsidRPr="001D3551" w:rsidRDefault="00201C5D" w:rsidP="00201C5D">
      <w:pPr>
        <w:rPr>
          <w:rFonts w:cs="Arial"/>
          <w:b/>
          <w:color w:val="FF0000"/>
          <w:szCs w:val="22"/>
          <w:highlight w:val="yellow"/>
        </w:rPr>
      </w:pPr>
    </w:p>
    <w:p w:rsidR="00201C5D" w:rsidRPr="001D3551" w:rsidRDefault="00201C5D" w:rsidP="00201C5D">
      <w:pPr>
        <w:keepNext/>
        <w:numPr>
          <w:ilvl w:val="1"/>
          <w:numId w:val="8"/>
        </w:numPr>
        <w:ind w:left="851" w:hanging="567"/>
        <w:jc w:val="both"/>
        <w:outlineLvl w:val="0"/>
        <w:rPr>
          <w:rFonts w:cs="Arial"/>
          <w:szCs w:val="22"/>
        </w:rPr>
      </w:pPr>
      <w:r w:rsidRPr="001D3551">
        <w:rPr>
          <w:rFonts w:cs="Arial"/>
          <w:szCs w:val="22"/>
        </w:rPr>
        <w:t>A summary of changes on the Balance Sheet worthy of further explanation are:</w:t>
      </w:r>
    </w:p>
    <w:p w:rsidR="00201C5D" w:rsidRPr="001D3551" w:rsidRDefault="00201C5D" w:rsidP="00201C5D">
      <w:pPr>
        <w:jc w:val="both"/>
        <w:rPr>
          <w:rFonts w:cs="Arial"/>
          <w:szCs w:val="22"/>
        </w:rPr>
      </w:pPr>
    </w:p>
    <w:p w:rsidR="00201C5D" w:rsidRPr="001D3551" w:rsidRDefault="00201C5D" w:rsidP="00201C5D">
      <w:pPr>
        <w:numPr>
          <w:ilvl w:val="0"/>
          <w:numId w:val="32"/>
        </w:numPr>
        <w:spacing w:after="120"/>
        <w:jc w:val="both"/>
        <w:rPr>
          <w:rFonts w:cs="Courier New"/>
          <w:szCs w:val="22"/>
        </w:rPr>
      </w:pPr>
      <w:r w:rsidRPr="001D3551">
        <w:rPr>
          <w:rFonts w:cs="Courier New"/>
          <w:szCs w:val="22"/>
        </w:rPr>
        <w:t xml:space="preserve">An overall </w:t>
      </w:r>
      <w:r w:rsidR="00F27D31">
        <w:rPr>
          <w:rFonts w:cs="Courier New"/>
          <w:szCs w:val="22"/>
        </w:rPr>
        <w:t>in</w:t>
      </w:r>
      <w:r w:rsidRPr="001D3551">
        <w:rPr>
          <w:rFonts w:cs="Courier New"/>
          <w:szCs w:val="22"/>
        </w:rPr>
        <w:t>crease in the value of Property, Plant and Equipment (PPE) of £0.</w:t>
      </w:r>
      <w:r w:rsidR="000C5255">
        <w:rPr>
          <w:rFonts w:cs="Courier New"/>
          <w:szCs w:val="22"/>
        </w:rPr>
        <w:t>457</w:t>
      </w:r>
      <w:r w:rsidRPr="001D3551">
        <w:rPr>
          <w:rFonts w:cs="Courier New"/>
          <w:szCs w:val="22"/>
        </w:rPr>
        <w:t>m due to addit</w:t>
      </w:r>
      <w:r>
        <w:rPr>
          <w:rFonts w:cs="Courier New"/>
          <w:szCs w:val="22"/>
        </w:rPr>
        <w:t>ions (capital expenditure) of £1</w:t>
      </w:r>
      <w:r w:rsidRPr="001D3551">
        <w:rPr>
          <w:rFonts w:cs="Courier New"/>
          <w:szCs w:val="22"/>
        </w:rPr>
        <w:t>.</w:t>
      </w:r>
      <w:r w:rsidR="000C5255">
        <w:rPr>
          <w:rFonts w:cs="Courier New"/>
          <w:szCs w:val="22"/>
        </w:rPr>
        <w:t>540</w:t>
      </w:r>
      <w:r>
        <w:rPr>
          <w:rFonts w:cs="Courier New"/>
          <w:szCs w:val="22"/>
        </w:rPr>
        <w:t>m and a</w:t>
      </w:r>
      <w:r w:rsidR="000C5255">
        <w:rPr>
          <w:rFonts w:cs="Courier New"/>
          <w:szCs w:val="22"/>
        </w:rPr>
        <w:t>n</w:t>
      </w:r>
      <w:r w:rsidRPr="001D3551">
        <w:rPr>
          <w:rFonts w:cs="Courier New"/>
          <w:szCs w:val="22"/>
        </w:rPr>
        <w:t xml:space="preserve"> </w:t>
      </w:r>
      <w:r w:rsidR="000C5255">
        <w:rPr>
          <w:rFonts w:cs="Courier New"/>
          <w:szCs w:val="22"/>
        </w:rPr>
        <w:t>in</w:t>
      </w:r>
      <w:r w:rsidRPr="001D3551">
        <w:rPr>
          <w:rFonts w:cs="Courier New"/>
          <w:szCs w:val="22"/>
        </w:rPr>
        <w:t>crease in value of £0.</w:t>
      </w:r>
      <w:r w:rsidR="000C5255">
        <w:rPr>
          <w:rFonts w:cs="Courier New"/>
          <w:szCs w:val="22"/>
        </w:rPr>
        <w:t>797</w:t>
      </w:r>
      <w:r w:rsidRPr="001D3551">
        <w:rPr>
          <w:rFonts w:cs="Courier New"/>
          <w:szCs w:val="22"/>
        </w:rPr>
        <w:t>m on revaluation</w:t>
      </w:r>
      <w:r w:rsidR="000C5255">
        <w:rPr>
          <w:rFonts w:cs="Courier New"/>
          <w:szCs w:val="22"/>
        </w:rPr>
        <w:t xml:space="preserve"> and reclassification</w:t>
      </w:r>
      <w:r w:rsidRPr="001D3551">
        <w:rPr>
          <w:rFonts w:cs="Courier New"/>
          <w:szCs w:val="22"/>
        </w:rPr>
        <w:t>, less a reduction in value of £</w:t>
      </w:r>
      <w:r>
        <w:rPr>
          <w:rFonts w:cs="Courier New"/>
          <w:szCs w:val="22"/>
        </w:rPr>
        <w:t>1</w:t>
      </w:r>
      <w:r w:rsidRPr="001D3551">
        <w:rPr>
          <w:rFonts w:cs="Courier New"/>
          <w:szCs w:val="22"/>
        </w:rPr>
        <w:t>.8</w:t>
      </w:r>
      <w:r w:rsidR="000C5255">
        <w:rPr>
          <w:rFonts w:cs="Courier New"/>
          <w:szCs w:val="22"/>
        </w:rPr>
        <w:t>80m as a result of depreciation</w:t>
      </w:r>
      <w:r w:rsidRPr="001D3551">
        <w:rPr>
          <w:rFonts w:cs="Courier New"/>
          <w:szCs w:val="22"/>
        </w:rPr>
        <w:t>.</w:t>
      </w:r>
    </w:p>
    <w:p w:rsidR="00201C5D" w:rsidRPr="001D3551" w:rsidRDefault="00201C5D" w:rsidP="00201C5D">
      <w:pPr>
        <w:numPr>
          <w:ilvl w:val="0"/>
          <w:numId w:val="32"/>
        </w:numPr>
        <w:spacing w:after="120"/>
        <w:jc w:val="both"/>
        <w:rPr>
          <w:rFonts w:cs="Courier New"/>
          <w:szCs w:val="22"/>
        </w:rPr>
      </w:pPr>
      <w:r w:rsidRPr="001D3551">
        <w:rPr>
          <w:rFonts w:cs="Courier New"/>
          <w:szCs w:val="22"/>
        </w:rPr>
        <w:t>Liquid resources (Cash and Cash Equival</w:t>
      </w:r>
      <w:r>
        <w:rPr>
          <w:rFonts w:cs="Courier New"/>
          <w:szCs w:val="22"/>
        </w:rPr>
        <w:t xml:space="preserve">ents) have </w:t>
      </w:r>
      <w:r w:rsidR="000C5255">
        <w:rPr>
          <w:rFonts w:cs="Courier New"/>
          <w:szCs w:val="22"/>
        </w:rPr>
        <w:t>in</w:t>
      </w:r>
      <w:r>
        <w:rPr>
          <w:rFonts w:cs="Courier New"/>
          <w:szCs w:val="22"/>
        </w:rPr>
        <w:t>creased from £</w:t>
      </w:r>
      <w:r w:rsidR="000C5255">
        <w:rPr>
          <w:rFonts w:cs="Courier New"/>
          <w:szCs w:val="22"/>
        </w:rPr>
        <w:t>3</w:t>
      </w:r>
      <w:r>
        <w:rPr>
          <w:rFonts w:cs="Courier New"/>
          <w:szCs w:val="22"/>
        </w:rPr>
        <w:t>.</w:t>
      </w:r>
      <w:r w:rsidR="000C5255">
        <w:rPr>
          <w:rFonts w:cs="Courier New"/>
          <w:szCs w:val="22"/>
        </w:rPr>
        <w:t>714</w:t>
      </w:r>
      <w:r w:rsidRPr="001D3551">
        <w:rPr>
          <w:rFonts w:cs="Courier New"/>
          <w:szCs w:val="22"/>
        </w:rPr>
        <w:t>m to £</w:t>
      </w:r>
      <w:r w:rsidR="000C5255">
        <w:rPr>
          <w:rFonts w:cs="Courier New"/>
          <w:szCs w:val="22"/>
        </w:rPr>
        <w:t>4</w:t>
      </w:r>
      <w:r w:rsidRPr="001D3551">
        <w:rPr>
          <w:rFonts w:cs="Courier New"/>
          <w:szCs w:val="22"/>
        </w:rPr>
        <w:t>.</w:t>
      </w:r>
      <w:r w:rsidR="000C5255">
        <w:rPr>
          <w:rFonts w:cs="Courier New"/>
          <w:szCs w:val="22"/>
        </w:rPr>
        <w:t>670</w:t>
      </w:r>
      <w:r w:rsidRPr="001D3551">
        <w:rPr>
          <w:rFonts w:cs="Courier New"/>
          <w:szCs w:val="22"/>
        </w:rPr>
        <w:t>m and Short Term Investments have increased from £</w:t>
      </w:r>
      <w:r w:rsidR="000C5255">
        <w:rPr>
          <w:rFonts w:cs="Courier New"/>
          <w:szCs w:val="22"/>
        </w:rPr>
        <w:t>25</w:t>
      </w:r>
      <w:r w:rsidRPr="001D3551">
        <w:rPr>
          <w:rFonts w:cs="Courier New"/>
          <w:szCs w:val="22"/>
        </w:rPr>
        <w:t>.</w:t>
      </w:r>
      <w:r w:rsidR="000C5255">
        <w:rPr>
          <w:rFonts w:cs="Courier New"/>
          <w:szCs w:val="22"/>
        </w:rPr>
        <w:t>047</w:t>
      </w:r>
      <w:r w:rsidRPr="001D3551">
        <w:rPr>
          <w:rFonts w:cs="Courier New"/>
          <w:szCs w:val="22"/>
        </w:rPr>
        <w:t>m to £</w:t>
      </w:r>
      <w:r w:rsidR="000C5255">
        <w:rPr>
          <w:rFonts w:cs="Courier New"/>
          <w:szCs w:val="22"/>
        </w:rPr>
        <w:t>27</w:t>
      </w:r>
      <w:r>
        <w:rPr>
          <w:rFonts w:cs="Courier New"/>
          <w:szCs w:val="22"/>
        </w:rPr>
        <w:t>.</w:t>
      </w:r>
      <w:r w:rsidR="000C5255">
        <w:rPr>
          <w:rFonts w:cs="Courier New"/>
          <w:szCs w:val="22"/>
        </w:rPr>
        <w:t>044</w:t>
      </w:r>
      <w:r w:rsidRPr="001D3551">
        <w:rPr>
          <w:rFonts w:cs="Courier New"/>
          <w:szCs w:val="22"/>
        </w:rPr>
        <w:t>m. This is an overall increas</w:t>
      </w:r>
      <w:r w:rsidR="000C5255">
        <w:rPr>
          <w:rFonts w:cs="Courier New"/>
          <w:szCs w:val="22"/>
        </w:rPr>
        <w:t>e in cash backed resources of £2</w:t>
      </w:r>
      <w:r w:rsidRPr="001D3551">
        <w:rPr>
          <w:rFonts w:cs="Courier New"/>
          <w:szCs w:val="22"/>
        </w:rPr>
        <w:t>.</w:t>
      </w:r>
      <w:r w:rsidR="000C5255">
        <w:rPr>
          <w:rFonts w:cs="Courier New"/>
          <w:szCs w:val="22"/>
        </w:rPr>
        <w:t>953</w:t>
      </w:r>
      <w:r w:rsidRPr="001D3551">
        <w:rPr>
          <w:rFonts w:cs="Courier New"/>
          <w:szCs w:val="22"/>
        </w:rPr>
        <w:t xml:space="preserve">m. </w:t>
      </w:r>
      <w:r>
        <w:rPr>
          <w:rFonts w:cs="Courier New"/>
          <w:szCs w:val="22"/>
        </w:rPr>
        <w:t>In general terms t</w:t>
      </w:r>
      <w:r w:rsidRPr="001D3551">
        <w:rPr>
          <w:rFonts w:cs="Courier New"/>
          <w:szCs w:val="22"/>
        </w:rPr>
        <w:t xml:space="preserve">his </w:t>
      </w:r>
      <w:r>
        <w:rPr>
          <w:rFonts w:cs="Courier New"/>
          <w:szCs w:val="22"/>
        </w:rPr>
        <w:t xml:space="preserve">in line with </w:t>
      </w:r>
      <w:r w:rsidRPr="001D3551">
        <w:rPr>
          <w:rFonts w:cs="Courier New"/>
          <w:szCs w:val="22"/>
        </w:rPr>
        <w:t>receipt of £</w:t>
      </w:r>
      <w:r w:rsidR="00A805B5">
        <w:rPr>
          <w:rFonts w:cs="Courier New"/>
          <w:szCs w:val="22"/>
        </w:rPr>
        <w:t>2</w:t>
      </w:r>
      <w:r w:rsidRPr="001D3551">
        <w:rPr>
          <w:rFonts w:cs="Courier New"/>
          <w:szCs w:val="22"/>
        </w:rPr>
        <w:t>.</w:t>
      </w:r>
      <w:r w:rsidR="00A805B5">
        <w:rPr>
          <w:rFonts w:cs="Courier New"/>
          <w:szCs w:val="22"/>
        </w:rPr>
        <w:t>941</w:t>
      </w:r>
      <w:r w:rsidR="000D01B5">
        <w:rPr>
          <w:rFonts w:cs="Courier New"/>
          <w:szCs w:val="22"/>
        </w:rPr>
        <w:t>m of</w:t>
      </w:r>
      <w:r w:rsidRPr="001D3551">
        <w:rPr>
          <w:rFonts w:cs="Courier New"/>
          <w:szCs w:val="22"/>
        </w:rPr>
        <w:t xml:space="preserve"> grants and contributions in the year. These resources are mainly held as investments (£2</w:t>
      </w:r>
      <w:r w:rsidR="00A805B5">
        <w:rPr>
          <w:rFonts w:cs="Courier New"/>
          <w:szCs w:val="22"/>
        </w:rPr>
        <w:t>9</w:t>
      </w:r>
      <w:r w:rsidRPr="001D3551">
        <w:rPr>
          <w:rFonts w:cs="Courier New"/>
          <w:szCs w:val="22"/>
        </w:rPr>
        <w:t>.</w:t>
      </w:r>
      <w:r>
        <w:rPr>
          <w:rFonts w:cs="Courier New"/>
          <w:szCs w:val="22"/>
        </w:rPr>
        <w:t>04</w:t>
      </w:r>
      <w:r w:rsidR="00A805B5">
        <w:rPr>
          <w:rFonts w:cs="Courier New"/>
          <w:szCs w:val="22"/>
        </w:rPr>
        <w:t>4</w:t>
      </w:r>
      <w:r w:rsidRPr="001D3551">
        <w:rPr>
          <w:rFonts w:cs="Courier New"/>
          <w:szCs w:val="22"/>
        </w:rPr>
        <w:t>m) and in call accounts (£</w:t>
      </w:r>
      <w:r w:rsidR="00A805B5">
        <w:rPr>
          <w:rFonts w:cs="Courier New"/>
          <w:szCs w:val="22"/>
        </w:rPr>
        <w:t>2</w:t>
      </w:r>
      <w:r w:rsidRPr="001D3551">
        <w:rPr>
          <w:rFonts w:cs="Courier New"/>
          <w:szCs w:val="22"/>
        </w:rPr>
        <w:t>.</w:t>
      </w:r>
      <w:r w:rsidR="00A805B5">
        <w:rPr>
          <w:rFonts w:cs="Courier New"/>
          <w:szCs w:val="22"/>
        </w:rPr>
        <w:t>710</w:t>
      </w:r>
      <w:r w:rsidRPr="001D3551">
        <w:rPr>
          <w:rFonts w:cs="Courier New"/>
          <w:szCs w:val="22"/>
        </w:rPr>
        <w:t>m) with some other small cash in hand balances.</w:t>
      </w:r>
      <w:r w:rsidRPr="001D3551">
        <w:rPr>
          <w:rFonts w:ascii="Times New Roman" w:hAnsi="Times New Roman"/>
          <w:sz w:val="24"/>
          <w:szCs w:val="24"/>
        </w:rPr>
        <w:t xml:space="preserve"> </w:t>
      </w:r>
    </w:p>
    <w:p w:rsidR="00201C5D" w:rsidRDefault="00A27A48" w:rsidP="00201C5D">
      <w:pPr>
        <w:numPr>
          <w:ilvl w:val="0"/>
          <w:numId w:val="32"/>
        </w:numPr>
        <w:spacing w:after="120"/>
        <w:jc w:val="both"/>
        <w:rPr>
          <w:rFonts w:cs="Courier New"/>
          <w:szCs w:val="22"/>
        </w:rPr>
      </w:pPr>
      <w:r>
        <w:rPr>
          <w:rFonts w:cs="Courier New"/>
          <w:szCs w:val="22"/>
        </w:rPr>
        <w:t>There has been an increase in Sort-Term Debtors of £1.092m. This is mainly due to Section 106 and Community Infrastructure Levy invoices totalling £0.715m being raised within the last weeks of the old financial year</w:t>
      </w:r>
      <w:r w:rsidR="002C0479">
        <w:rPr>
          <w:rFonts w:cs="Courier New"/>
          <w:szCs w:val="22"/>
        </w:rPr>
        <w:t xml:space="preserve"> but</w:t>
      </w:r>
      <w:r>
        <w:rPr>
          <w:rFonts w:cs="Courier New"/>
          <w:szCs w:val="22"/>
        </w:rPr>
        <w:t xml:space="preserve"> which were not due for payment until early in the new financial yea</w:t>
      </w:r>
      <w:r w:rsidR="002C0479">
        <w:rPr>
          <w:rFonts w:cs="Courier New"/>
          <w:szCs w:val="22"/>
        </w:rPr>
        <w:t>r along with an</w:t>
      </w:r>
      <w:r>
        <w:rPr>
          <w:rFonts w:cs="Courier New"/>
          <w:szCs w:val="22"/>
        </w:rPr>
        <w:t xml:space="preserve"> increase in Housing Benefit Overpayments debtors of £0.119m over the year.</w:t>
      </w:r>
    </w:p>
    <w:p w:rsidR="00A27A48" w:rsidRPr="001D3551" w:rsidRDefault="00A27A48" w:rsidP="00201C5D">
      <w:pPr>
        <w:numPr>
          <w:ilvl w:val="0"/>
          <w:numId w:val="32"/>
        </w:numPr>
        <w:spacing w:after="120"/>
        <w:jc w:val="both"/>
        <w:rPr>
          <w:rFonts w:cs="Courier New"/>
          <w:szCs w:val="22"/>
        </w:rPr>
      </w:pPr>
      <w:r>
        <w:rPr>
          <w:rFonts w:cs="Courier New"/>
          <w:szCs w:val="22"/>
        </w:rPr>
        <w:t xml:space="preserve">Short-Term Creditors have also increased significantly, by £1.362m to £7.902m. This is mainly due to income received in advance of the 2018/19 financial year for the Garden Waste Scheme totalling </w:t>
      </w:r>
      <w:r w:rsidR="00281AE1">
        <w:rPr>
          <w:rFonts w:cs="Courier New"/>
          <w:szCs w:val="22"/>
        </w:rPr>
        <w:t xml:space="preserve">£0.530m, </w:t>
      </w:r>
      <w:r>
        <w:rPr>
          <w:rFonts w:cs="Courier New"/>
          <w:szCs w:val="22"/>
        </w:rPr>
        <w:t>on</w:t>
      </w:r>
      <w:r w:rsidR="00210092">
        <w:rPr>
          <w:rFonts w:cs="Courier New"/>
          <w:szCs w:val="22"/>
        </w:rPr>
        <w:t>e</w:t>
      </w:r>
      <w:r>
        <w:rPr>
          <w:rFonts w:cs="Courier New"/>
          <w:szCs w:val="22"/>
        </w:rPr>
        <w:t>-off severance costs charged to 2017/18 which are yet to be paid totalling £</w:t>
      </w:r>
      <w:r w:rsidR="00281AE1">
        <w:rPr>
          <w:rFonts w:cs="Courier New"/>
          <w:szCs w:val="22"/>
        </w:rPr>
        <w:t>0.341m, a Section 106 Commuted Sum due to Chorley Community Housing of £0.250 and New Homes Bonus due to Lancashire County Council of £0.483m.</w:t>
      </w:r>
    </w:p>
    <w:p w:rsidR="00201C5D" w:rsidRDefault="00201C5D" w:rsidP="00201C5D">
      <w:pPr>
        <w:numPr>
          <w:ilvl w:val="0"/>
          <w:numId w:val="32"/>
        </w:numPr>
        <w:pBdr>
          <w:top w:val="single" w:sz="2" w:space="1" w:color="FFFFFF"/>
          <w:left w:val="single" w:sz="2" w:space="0" w:color="FFFFFF"/>
          <w:bottom w:val="single" w:sz="2" w:space="2" w:color="FFFFFF"/>
          <w:right w:val="single" w:sz="2" w:space="4" w:color="FFFFFF"/>
        </w:pBdr>
        <w:spacing w:after="120"/>
        <w:ind w:right="141"/>
        <w:jc w:val="both"/>
        <w:rPr>
          <w:rFonts w:cs="Courier New"/>
          <w:szCs w:val="22"/>
        </w:rPr>
      </w:pPr>
      <w:r w:rsidRPr="006673AE">
        <w:rPr>
          <w:rFonts w:cs="Courier New"/>
          <w:szCs w:val="22"/>
        </w:rPr>
        <w:t xml:space="preserve">Overall, the net worth of the authority (Total Reserves) has </w:t>
      </w:r>
      <w:r w:rsidR="00281AE1">
        <w:rPr>
          <w:rFonts w:cs="Courier New"/>
          <w:szCs w:val="22"/>
        </w:rPr>
        <w:t>increased</w:t>
      </w:r>
      <w:r w:rsidRPr="006673AE">
        <w:rPr>
          <w:rFonts w:cs="Courier New"/>
          <w:szCs w:val="22"/>
        </w:rPr>
        <w:t xml:space="preserve"> by £</w:t>
      </w:r>
      <w:r w:rsidR="00281AE1">
        <w:rPr>
          <w:rFonts w:cs="Courier New"/>
          <w:szCs w:val="22"/>
        </w:rPr>
        <w:t>6</w:t>
      </w:r>
      <w:r w:rsidRPr="006673AE">
        <w:rPr>
          <w:rFonts w:cs="Courier New"/>
          <w:szCs w:val="22"/>
        </w:rPr>
        <w:t>.5</w:t>
      </w:r>
      <w:r w:rsidR="00281AE1">
        <w:rPr>
          <w:rFonts w:cs="Courier New"/>
          <w:szCs w:val="22"/>
        </w:rPr>
        <w:t>27</w:t>
      </w:r>
      <w:r w:rsidRPr="006673AE">
        <w:rPr>
          <w:rFonts w:cs="Courier New"/>
          <w:szCs w:val="22"/>
        </w:rPr>
        <w:t>m. This movement is analysed in the Movement in Reserves Statement and is mainly due to the surplus on</w:t>
      </w:r>
      <w:r w:rsidRPr="006673AE">
        <w:rPr>
          <w:rFonts w:ascii="Times New Roman" w:hAnsi="Times New Roman"/>
          <w:sz w:val="24"/>
          <w:szCs w:val="24"/>
        </w:rPr>
        <w:t xml:space="preserve"> </w:t>
      </w:r>
      <w:r w:rsidR="00281AE1">
        <w:rPr>
          <w:rFonts w:cs="Courier New"/>
          <w:szCs w:val="22"/>
        </w:rPr>
        <w:t>provision of services of £1.231</w:t>
      </w:r>
      <w:r w:rsidRPr="006673AE">
        <w:rPr>
          <w:rFonts w:cs="Courier New"/>
          <w:szCs w:val="22"/>
        </w:rPr>
        <w:t xml:space="preserve">m, the </w:t>
      </w:r>
      <w:r w:rsidR="00281AE1">
        <w:rPr>
          <w:rFonts w:cs="Courier New"/>
          <w:szCs w:val="22"/>
        </w:rPr>
        <w:t>net increase</w:t>
      </w:r>
      <w:r w:rsidRPr="006673AE">
        <w:rPr>
          <w:rFonts w:cs="Courier New"/>
          <w:szCs w:val="22"/>
        </w:rPr>
        <w:t xml:space="preserve"> in capital receipts, grants and contributions after use in year of £</w:t>
      </w:r>
      <w:r w:rsidR="00281AE1">
        <w:rPr>
          <w:rFonts w:cs="Courier New"/>
          <w:szCs w:val="22"/>
        </w:rPr>
        <w:t>1</w:t>
      </w:r>
      <w:r w:rsidRPr="006673AE">
        <w:rPr>
          <w:rFonts w:cs="Courier New"/>
          <w:szCs w:val="22"/>
        </w:rPr>
        <w:t>.</w:t>
      </w:r>
      <w:r w:rsidR="00281AE1">
        <w:rPr>
          <w:rFonts w:cs="Courier New"/>
          <w:szCs w:val="22"/>
        </w:rPr>
        <w:t>488</w:t>
      </w:r>
      <w:r w:rsidRPr="006673AE">
        <w:rPr>
          <w:rFonts w:cs="Courier New"/>
          <w:szCs w:val="22"/>
        </w:rPr>
        <w:t>m, the revaluation gain on Property, Plant and Equipment of £0.1</w:t>
      </w:r>
      <w:r w:rsidR="00281AE1">
        <w:rPr>
          <w:rFonts w:cs="Courier New"/>
          <w:szCs w:val="22"/>
        </w:rPr>
        <w:t>28</w:t>
      </w:r>
      <w:r w:rsidRPr="006673AE">
        <w:rPr>
          <w:rFonts w:cs="Courier New"/>
          <w:szCs w:val="22"/>
        </w:rPr>
        <w:t xml:space="preserve">m and the movement in the Pensions Reserve used to hold the balancing adjustment relating to the Net Pensions Liability </w:t>
      </w:r>
      <w:r w:rsidR="00281AE1">
        <w:rPr>
          <w:rFonts w:cs="Courier New"/>
          <w:szCs w:val="22"/>
        </w:rPr>
        <w:t>of £3.742m</w:t>
      </w:r>
      <w:r w:rsidRPr="006673AE">
        <w:rPr>
          <w:rFonts w:cs="Courier New"/>
          <w:szCs w:val="22"/>
        </w:rPr>
        <w:t>.</w:t>
      </w:r>
    </w:p>
    <w:p w:rsidR="00201C5D" w:rsidRDefault="00201C5D" w:rsidP="00201C5D">
      <w:pPr>
        <w:pBdr>
          <w:top w:val="single" w:sz="2" w:space="1" w:color="FFFFFF"/>
          <w:left w:val="single" w:sz="2" w:space="0" w:color="FFFFFF"/>
          <w:bottom w:val="single" w:sz="2" w:space="2" w:color="FFFFFF"/>
          <w:right w:val="single" w:sz="2" w:space="4" w:color="FFFFFF"/>
        </w:pBdr>
        <w:spacing w:after="120"/>
        <w:ind w:right="141"/>
        <w:jc w:val="both"/>
        <w:rPr>
          <w:u w:val="single"/>
          <w:lang w:eastAsia="en-US"/>
        </w:rPr>
      </w:pPr>
    </w:p>
    <w:p w:rsidR="00201C5D" w:rsidRDefault="00201C5D" w:rsidP="00201C5D">
      <w:pPr>
        <w:rPr>
          <w:u w:val="single"/>
          <w:lang w:eastAsia="en-US"/>
        </w:rPr>
      </w:pPr>
      <w:r>
        <w:rPr>
          <w:u w:val="single"/>
          <w:lang w:eastAsia="en-US"/>
        </w:rPr>
        <w:br w:type="page"/>
      </w:r>
    </w:p>
    <w:p w:rsidR="00201C5D" w:rsidRPr="000340A2" w:rsidRDefault="00201C5D" w:rsidP="00201C5D">
      <w:pPr>
        <w:pBdr>
          <w:top w:val="single" w:sz="2" w:space="1" w:color="FFFFFF"/>
          <w:left w:val="single" w:sz="2" w:space="0" w:color="FFFFFF"/>
          <w:bottom w:val="single" w:sz="2" w:space="2" w:color="FFFFFF"/>
          <w:right w:val="single" w:sz="2" w:space="4" w:color="FFFFFF"/>
        </w:pBdr>
        <w:spacing w:after="120"/>
        <w:ind w:right="141"/>
        <w:jc w:val="both"/>
        <w:rPr>
          <w:rFonts w:cs="Courier New"/>
          <w:b/>
          <w:szCs w:val="22"/>
        </w:rPr>
      </w:pPr>
      <w:r w:rsidRPr="000340A2">
        <w:rPr>
          <w:u w:val="single"/>
          <w:lang w:eastAsia="en-US"/>
        </w:rPr>
        <w:t>Collection Fund</w:t>
      </w:r>
      <w:r w:rsidRPr="000340A2">
        <w:rPr>
          <w:rFonts w:cs="Courier New"/>
          <w:b/>
          <w:szCs w:val="22"/>
        </w:rPr>
        <w:t xml:space="preserve"> </w:t>
      </w:r>
    </w:p>
    <w:p w:rsidR="00201C5D" w:rsidRPr="001D3551" w:rsidRDefault="00201C5D" w:rsidP="00201C5D">
      <w:pPr>
        <w:rPr>
          <w:rFonts w:cs="Courier New"/>
          <w:b/>
          <w:szCs w:val="22"/>
        </w:rPr>
      </w:pPr>
    </w:p>
    <w:p w:rsidR="00201C5D" w:rsidRPr="001D3551" w:rsidRDefault="00201C5D" w:rsidP="00201C5D">
      <w:pPr>
        <w:keepNext/>
        <w:numPr>
          <w:ilvl w:val="1"/>
          <w:numId w:val="8"/>
        </w:numPr>
        <w:ind w:left="851" w:hanging="567"/>
        <w:jc w:val="both"/>
        <w:outlineLvl w:val="0"/>
        <w:rPr>
          <w:rFonts w:cs="Arial"/>
          <w:szCs w:val="22"/>
        </w:rPr>
      </w:pPr>
      <w:r w:rsidRPr="001D3551">
        <w:rPr>
          <w:rFonts w:cs="Arial"/>
          <w:szCs w:val="22"/>
        </w:rPr>
        <w:t>The Collection Fund (England) is an agent’s statement that reflects the statutory obligation for billing authorities (SRBC) to maintain a separate Collection Fund. The statement shows the transactions of the billing authority in relation to the collection from taxpayers, and distribution to local authorities and the Government, of council tax and non-domestic rates.</w:t>
      </w:r>
    </w:p>
    <w:p w:rsidR="00201C5D" w:rsidRPr="001D3551" w:rsidRDefault="00201C5D" w:rsidP="00201C5D">
      <w:pPr>
        <w:jc w:val="both"/>
        <w:rPr>
          <w:rFonts w:cs="Courier New"/>
          <w:color w:val="FF0000"/>
          <w:szCs w:val="22"/>
          <w:highlight w:val="yellow"/>
        </w:rPr>
      </w:pP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5"/>
        <w:gridCol w:w="1055"/>
        <w:gridCol w:w="5421"/>
        <w:gridCol w:w="1054"/>
        <w:gridCol w:w="1054"/>
      </w:tblGrid>
      <w:tr w:rsidR="00201C5D" w:rsidRPr="00EC06E7" w:rsidTr="00081531">
        <w:trPr>
          <w:trHeight w:val="405"/>
          <w:jc w:val="center"/>
        </w:trPr>
        <w:tc>
          <w:tcPr>
            <w:tcW w:w="1055" w:type="dxa"/>
            <w:tcBorders>
              <w:top w:val="single" w:sz="4" w:space="0" w:color="auto"/>
              <w:bottom w:val="nil"/>
              <w:right w:val="single" w:sz="4" w:space="0" w:color="auto"/>
            </w:tcBorders>
            <w:shd w:val="clear" w:color="auto" w:fill="BDD6EE" w:themeFill="accent1" w:themeFillTint="66"/>
            <w:vAlign w:val="center"/>
          </w:tcPr>
          <w:p w:rsidR="00201C5D" w:rsidRPr="00EC06E7" w:rsidRDefault="00201C5D" w:rsidP="00081531">
            <w:pPr>
              <w:jc w:val="center"/>
              <w:rPr>
                <w:rFonts w:cs="Courier New"/>
                <w:b/>
                <w:sz w:val="18"/>
                <w:szCs w:val="18"/>
              </w:rPr>
            </w:pPr>
            <w:r>
              <w:rPr>
                <w:rFonts w:cs="Courier New"/>
                <w:b/>
                <w:sz w:val="18"/>
                <w:szCs w:val="18"/>
              </w:rPr>
              <w:t>2016/17</w:t>
            </w:r>
          </w:p>
          <w:p w:rsidR="00201C5D" w:rsidRPr="00EC06E7" w:rsidRDefault="00201C5D" w:rsidP="00081531">
            <w:pPr>
              <w:jc w:val="center"/>
              <w:rPr>
                <w:rFonts w:cs="Courier New"/>
                <w:b/>
                <w:sz w:val="18"/>
                <w:szCs w:val="18"/>
              </w:rPr>
            </w:pPr>
            <w:r w:rsidRPr="00EC06E7">
              <w:rPr>
                <w:rFonts w:cs="Courier New"/>
                <w:b/>
                <w:sz w:val="18"/>
                <w:szCs w:val="18"/>
              </w:rPr>
              <w:t>Business Rates</w:t>
            </w:r>
          </w:p>
        </w:tc>
        <w:tc>
          <w:tcPr>
            <w:tcW w:w="1055" w:type="dxa"/>
            <w:tcBorders>
              <w:top w:val="single" w:sz="4" w:space="0" w:color="auto"/>
              <w:bottom w:val="nil"/>
              <w:right w:val="single" w:sz="4" w:space="0" w:color="auto"/>
            </w:tcBorders>
            <w:shd w:val="clear" w:color="auto" w:fill="BDD6EE" w:themeFill="accent1" w:themeFillTint="66"/>
            <w:vAlign w:val="center"/>
          </w:tcPr>
          <w:p w:rsidR="00201C5D" w:rsidRPr="00EC06E7" w:rsidRDefault="00201C5D" w:rsidP="00081531">
            <w:pPr>
              <w:jc w:val="center"/>
              <w:rPr>
                <w:rFonts w:cs="Courier New"/>
                <w:b/>
                <w:sz w:val="18"/>
                <w:szCs w:val="18"/>
              </w:rPr>
            </w:pPr>
            <w:r>
              <w:rPr>
                <w:rFonts w:cs="Courier New"/>
                <w:b/>
                <w:sz w:val="18"/>
                <w:szCs w:val="18"/>
              </w:rPr>
              <w:t>2016/17</w:t>
            </w:r>
          </w:p>
          <w:p w:rsidR="00201C5D" w:rsidRPr="00EC06E7" w:rsidRDefault="00201C5D" w:rsidP="00081531">
            <w:pPr>
              <w:jc w:val="center"/>
              <w:rPr>
                <w:rFonts w:cs="Courier New"/>
                <w:b/>
                <w:sz w:val="18"/>
                <w:szCs w:val="18"/>
              </w:rPr>
            </w:pPr>
            <w:r w:rsidRPr="00EC06E7">
              <w:rPr>
                <w:rFonts w:cs="Courier New"/>
                <w:b/>
                <w:sz w:val="18"/>
                <w:szCs w:val="18"/>
              </w:rPr>
              <w:t>Council Tax</w:t>
            </w:r>
          </w:p>
        </w:tc>
        <w:tc>
          <w:tcPr>
            <w:tcW w:w="5421" w:type="dxa"/>
            <w:tcBorders>
              <w:top w:val="single" w:sz="4" w:space="0" w:color="auto"/>
              <w:left w:val="single" w:sz="4" w:space="0" w:color="auto"/>
              <w:bottom w:val="nil"/>
              <w:right w:val="single" w:sz="4" w:space="0" w:color="auto"/>
            </w:tcBorders>
            <w:shd w:val="clear" w:color="auto" w:fill="BDD6EE" w:themeFill="accent1" w:themeFillTint="66"/>
            <w:vAlign w:val="center"/>
          </w:tcPr>
          <w:p w:rsidR="00201C5D" w:rsidRPr="00EC06E7" w:rsidRDefault="00201C5D" w:rsidP="00081531">
            <w:pPr>
              <w:rPr>
                <w:rFonts w:cs="Courier New"/>
                <w:sz w:val="18"/>
                <w:szCs w:val="18"/>
              </w:rPr>
            </w:pPr>
          </w:p>
        </w:tc>
        <w:tc>
          <w:tcPr>
            <w:tcW w:w="1054" w:type="dxa"/>
            <w:vMerge w:val="restart"/>
            <w:tcBorders>
              <w:top w:val="single" w:sz="4" w:space="0" w:color="auto"/>
              <w:left w:val="single" w:sz="4" w:space="0" w:color="auto"/>
            </w:tcBorders>
            <w:shd w:val="clear" w:color="auto" w:fill="BDD6EE" w:themeFill="accent1" w:themeFillTint="66"/>
            <w:vAlign w:val="center"/>
          </w:tcPr>
          <w:p w:rsidR="00201C5D" w:rsidRPr="00EC06E7" w:rsidRDefault="00201C5D" w:rsidP="00081531">
            <w:pPr>
              <w:jc w:val="center"/>
              <w:rPr>
                <w:rFonts w:cs="Courier New"/>
                <w:b/>
                <w:sz w:val="18"/>
                <w:szCs w:val="18"/>
              </w:rPr>
            </w:pPr>
            <w:r>
              <w:rPr>
                <w:rFonts w:cs="Courier New"/>
                <w:b/>
                <w:sz w:val="18"/>
                <w:szCs w:val="18"/>
              </w:rPr>
              <w:t>2017/18</w:t>
            </w:r>
          </w:p>
          <w:p w:rsidR="00201C5D" w:rsidRPr="00EC06E7" w:rsidRDefault="00201C5D" w:rsidP="00081531">
            <w:pPr>
              <w:jc w:val="center"/>
              <w:rPr>
                <w:rFonts w:cs="Courier New"/>
                <w:b/>
                <w:sz w:val="18"/>
                <w:szCs w:val="18"/>
              </w:rPr>
            </w:pPr>
            <w:r w:rsidRPr="00EC06E7">
              <w:rPr>
                <w:rFonts w:cs="Courier New"/>
                <w:b/>
                <w:sz w:val="18"/>
                <w:szCs w:val="18"/>
              </w:rPr>
              <w:t>Business Rates</w:t>
            </w:r>
          </w:p>
          <w:p w:rsidR="00201C5D" w:rsidRPr="00EC06E7" w:rsidRDefault="00201C5D" w:rsidP="00081531">
            <w:pPr>
              <w:jc w:val="center"/>
              <w:rPr>
                <w:rFonts w:cs="Courier New"/>
                <w:b/>
                <w:sz w:val="18"/>
                <w:szCs w:val="18"/>
              </w:rPr>
            </w:pPr>
            <w:r w:rsidRPr="00EC06E7">
              <w:rPr>
                <w:rFonts w:cs="Courier New"/>
                <w:b/>
                <w:sz w:val="18"/>
                <w:szCs w:val="18"/>
              </w:rPr>
              <w:t>£’000</w:t>
            </w:r>
          </w:p>
        </w:tc>
        <w:tc>
          <w:tcPr>
            <w:tcW w:w="1054" w:type="dxa"/>
            <w:vMerge w:val="restart"/>
            <w:tcBorders>
              <w:top w:val="single" w:sz="4" w:space="0" w:color="auto"/>
              <w:left w:val="single" w:sz="4" w:space="0" w:color="auto"/>
            </w:tcBorders>
            <w:shd w:val="clear" w:color="auto" w:fill="BDD6EE" w:themeFill="accent1" w:themeFillTint="66"/>
            <w:vAlign w:val="center"/>
          </w:tcPr>
          <w:p w:rsidR="00201C5D" w:rsidRPr="00EC06E7" w:rsidRDefault="00201C5D" w:rsidP="00081531">
            <w:pPr>
              <w:jc w:val="center"/>
              <w:rPr>
                <w:rFonts w:cs="Courier New"/>
                <w:b/>
                <w:sz w:val="18"/>
                <w:szCs w:val="18"/>
              </w:rPr>
            </w:pPr>
            <w:r>
              <w:rPr>
                <w:rFonts w:cs="Courier New"/>
                <w:b/>
                <w:sz w:val="18"/>
                <w:szCs w:val="18"/>
              </w:rPr>
              <w:t>2017/18</w:t>
            </w:r>
            <w:r w:rsidRPr="00EC06E7">
              <w:rPr>
                <w:rFonts w:cs="Courier New"/>
                <w:b/>
                <w:sz w:val="18"/>
                <w:szCs w:val="18"/>
              </w:rPr>
              <w:t xml:space="preserve"> Council Tax</w:t>
            </w:r>
          </w:p>
          <w:p w:rsidR="00201C5D" w:rsidRPr="00EC06E7" w:rsidRDefault="00201C5D" w:rsidP="00081531">
            <w:pPr>
              <w:jc w:val="center"/>
              <w:rPr>
                <w:rFonts w:cs="Courier New"/>
                <w:b/>
                <w:sz w:val="18"/>
                <w:szCs w:val="18"/>
              </w:rPr>
            </w:pPr>
            <w:r w:rsidRPr="00EC06E7">
              <w:rPr>
                <w:rFonts w:cs="Courier New"/>
                <w:b/>
                <w:sz w:val="18"/>
                <w:szCs w:val="18"/>
              </w:rPr>
              <w:t>£’000</w:t>
            </w:r>
          </w:p>
        </w:tc>
      </w:tr>
      <w:tr w:rsidR="00201C5D" w:rsidRPr="00EC06E7" w:rsidTr="00081531">
        <w:trPr>
          <w:trHeight w:val="215"/>
          <w:jc w:val="center"/>
        </w:trPr>
        <w:tc>
          <w:tcPr>
            <w:tcW w:w="1055" w:type="dxa"/>
            <w:tcBorders>
              <w:top w:val="nil"/>
              <w:bottom w:val="single" w:sz="4" w:space="0" w:color="auto"/>
              <w:right w:val="single" w:sz="4" w:space="0" w:color="auto"/>
            </w:tcBorders>
            <w:shd w:val="clear" w:color="auto" w:fill="BDD6EE" w:themeFill="accent1" w:themeFillTint="66"/>
            <w:vAlign w:val="center"/>
          </w:tcPr>
          <w:p w:rsidR="00201C5D" w:rsidRPr="00EC06E7" w:rsidRDefault="00201C5D" w:rsidP="00081531">
            <w:pPr>
              <w:jc w:val="center"/>
              <w:rPr>
                <w:rFonts w:cs="Courier New"/>
                <w:b/>
                <w:sz w:val="18"/>
                <w:szCs w:val="18"/>
              </w:rPr>
            </w:pPr>
            <w:r w:rsidRPr="00EC06E7">
              <w:rPr>
                <w:rFonts w:cs="Courier New"/>
                <w:b/>
                <w:sz w:val="18"/>
                <w:szCs w:val="18"/>
              </w:rPr>
              <w:t>£’000</w:t>
            </w:r>
          </w:p>
        </w:tc>
        <w:tc>
          <w:tcPr>
            <w:tcW w:w="1055" w:type="dxa"/>
            <w:tcBorders>
              <w:top w:val="nil"/>
              <w:bottom w:val="single" w:sz="4" w:space="0" w:color="auto"/>
              <w:right w:val="single" w:sz="4" w:space="0" w:color="auto"/>
            </w:tcBorders>
            <w:shd w:val="clear" w:color="auto" w:fill="BDD6EE" w:themeFill="accent1" w:themeFillTint="66"/>
            <w:vAlign w:val="center"/>
          </w:tcPr>
          <w:p w:rsidR="00201C5D" w:rsidRPr="00EC06E7" w:rsidRDefault="00201C5D" w:rsidP="00081531">
            <w:pPr>
              <w:jc w:val="center"/>
              <w:rPr>
                <w:rFonts w:cs="Courier New"/>
                <w:b/>
                <w:sz w:val="18"/>
                <w:szCs w:val="18"/>
              </w:rPr>
            </w:pPr>
            <w:r w:rsidRPr="00EC06E7">
              <w:rPr>
                <w:rFonts w:cs="Courier New"/>
                <w:b/>
                <w:sz w:val="18"/>
                <w:szCs w:val="18"/>
              </w:rPr>
              <w:t>£’000</w:t>
            </w:r>
          </w:p>
        </w:tc>
        <w:tc>
          <w:tcPr>
            <w:tcW w:w="5421"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201C5D" w:rsidRPr="00EC06E7" w:rsidRDefault="00201C5D" w:rsidP="00081531">
            <w:pPr>
              <w:rPr>
                <w:rFonts w:cs="Courier New"/>
                <w:sz w:val="18"/>
                <w:szCs w:val="18"/>
              </w:rPr>
            </w:pPr>
          </w:p>
        </w:tc>
        <w:tc>
          <w:tcPr>
            <w:tcW w:w="1054" w:type="dxa"/>
            <w:vMerge/>
            <w:tcBorders>
              <w:left w:val="single" w:sz="4" w:space="0" w:color="auto"/>
              <w:bottom w:val="single" w:sz="4" w:space="0" w:color="auto"/>
            </w:tcBorders>
            <w:shd w:val="clear" w:color="auto" w:fill="BFBFBF"/>
            <w:vAlign w:val="center"/>
          </w:tcPr>
          <w:p w:rsidR="00201C5D" w:rsidRPr="00EC06E7" w:rsidRDefault="00201C5D" w:rsidP="00081531">
            <w:pPr>
              <w:jc w:val="right"/>
              <w:rPr>
                <w:rFonts w:cs="Courier New"/>
                <w:b/>
                <w:sz w:val="18"/>
                <w:szCs w:val="18"/>
              </w:rPr>
            </w:pPr>
          </w:p>
        </w:tc>
        <w:tc>
          <w:tcPr>
            <w:tcW w:w="1054" w:type="dxa"/>
            <w:vMerge/>
            <w:tcBorders>
              <w:left w:val="single" w:sz="4" w:space="0" w:color="auto"/>
              <w:bottom w:val="single" w:sz="4" w:space="0" w:color="auto"/>
            </w:tcBorders>
            <w:shd w:val="clear" w:color="auto" w:fill="BFBFBF"/>
            <w:vAlign w:val="center"/>
          </w:tcPr>
          <w:p w:rsidR="00201C5D" w:rsidRPr="00EC06E7" w:rsidRDefault="00201C5D" w:rsidP="00081531">
            <w:pPr>
              <w:jc w:val="right"/>
              <w:rPr>
                <w:rFonts w:cs="Courier New"/>
                <w:b/>
                <w:sz w:val="18"/>
                <w:szCs w:val="18"/>
              </w:rPr>
            </w:pPr>
          </w:p>
        </w:tc>
      </w:tr>
      <w:tr w:rsidR="00201C5D" w:rsidRPr="00EC06E7" w:rsidTr="00081531">
        <w:trPr>
          <w:trHeight w:val="284"/>
          <w:jc w:val="center"/>
        </w:trPr>
        <w:tc>
          <w:tcPr>
            <w:tcW w:w="1055"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b/>
                <w:sz w:val="18"/>
                <w:szCs w:val="18"/>
              </w:rPr>
            </w:pPr>
            <w:r w:rsidRPr="00EC06E7">
              <w:rPr>
                <w:b/>
                <w:sz w:val="18"/>
                <w:szCs w:val="18"/>
              </w:rPr>
              <w:t>Income</w:t>
            </w:r>
          </w:p>
        </w:tc>
        <w:tc>
          <w:tcPr>
            <w:tcW w:w="10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57,711</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Council Tax Receivable</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59,979</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39,508</w:t>
            </w:r>
          </w:p>
        </w:tc>
        <w:tc>
          <w:tcPr>
            <w:tcW w:w="1055"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Business Rates Receivable</w:t>
            </w:r>
          </w:p>
        </w:tc>
        <w:tc>
          <w:tcPr>
            <w:tcW w:w="10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37</w:t>
            </w:r>
            <w:r w:rsidRPr="00EC06E7">
              <w:rPr>
                <w:rFonts w:cs="Courier New"/>
                <w:sz w:val="18"/>
                <w:szCs w:val="18"/>
              </w:rPr>
              <w:t>,</w:t>
            </w:r>
            <w:r>
              <w:rPr>
                <w:rFonts w:cs="Courier New"/>
                <w:sz w:val="18"/>
                <w:szCs w:val="18"/>
              </w:rPr>
              <w:t>930</w:t>
            </w:r>
          </w:p>
        </w:tc>
        <w:tc>
          <w:tcPr>
            <w:tcW w:w="1054"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39,508</w:t>
            </w:r>
          </w:p>
        </w:tc>
        <w:tc>
          <w:tcPr>
            <w:tcW w:w="1055"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57,711</w:t>
            </w:r>
          </w:p>
        </w:tc>
        <w:tc>
          <w:tcPr>
            <w:tcW w:w="542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18"/>
                <w:szCs w:val="18"/>
              </w:rPr>
            </w:pPr>
            <w:r w:rsidRPr="00EC06E7">
              <w:rPr>
                <w:rFonts w:cs="Courier New"/>
                <w:b/>
                <w:sz w:val="18"/>
                <w:szCs w:val="18"/>
              </w:rPr>
              <w:t>Total Income</w:t>
            </w:r>
          </w:p>
        </w:tc>
        <w:tc>
          <w:tcPr>
            <w:tcW w:w="105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Pr>
                <w:rFonts w:cs="Courier New"/>
                <w:b/>
                <w:sz w:val="18"/>
                <w:szCs w:val="18"/>
              </w:rPr>
              <w:t>37</w:t>
            </w:r>
            <w:r w:rsidRPr="00EC06E7">
              <w:rPr>
                <w:rFonts w:cs="Courier New"/>
                <w:b/>
                <w:sz w:val="18"/>
                <w:szCs w:val="18"/>
              </w:rPr>
              <w:t>,</w:t>
            </w:r>
            <w:r>
              <w:rPr>
                <w:rFonts w:cs="Courier New"/>
                <w:b/>
                <w:sz w:val="18"/>
                <w:szCs w:val="18"/>
              </w:rPr>
              <w:t>930</w:t>
            </w:r>
          </w:p>
        </w:tc>
        <w:tc>
          <w:tcPr>
            <w:tcW w:w="1054"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5</w:t>
            </w:r>
            <w:r>
              <w:rPr>
                <w:rFonts w:cs="Courier New"/>
                <w:b/>
                <w:sz w:val="18"/>
                <w:szCs w:val="18"/>
              </w:rPr>
              <w:t>9</w:t>
            </w:r>
            <w:r w:rsidRPr="00EC06E7">
              <w:rPr>
                <w:rFonts w:cs="Courier New"/>
                <w:b/>
                <w:sz w:val="18"/>
                <w:szCs w:val="18"/>
              </w:rPr>
              <w:t>,</w:t>
            </w:r>
            <w:r>
              <w:rPr>
                <w:rFonts w:cs="Courier New"/>
                <w:b/>
                <w:sz w:val="18"/>
                <w:szCs w:val="18"/>
              </w:rPr>
              <w:t>979</w:t>
            </w:r>
          </w:p>
        </w:tc>
      </w:tr>
      <w:tr w:rsidR="00201C5D" w:rsidRPr="00EC06E7" w:rsidTr="00081531">
        <w:trPr>
          <w:trHeight w:val="284"/>
          <w:jc w:val="center"/>
        </w:trPr>
        <w:tc>
          <w:tcPr>
            <w:tcW w:w="1055"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b/>
                <w:sz w:val="18"/>
                <w:szCs w:val="18"/>
              </w:rPr>
            </w:pPr>
            <w:r w:rsidRPr="00EC06E7">
              <w:rPr>
                <w:b/>
                <w:sz w:val="18"/>
                <w:szCs w:val="18"/>
              </w:rPr>
              <w:t>Expenditure</w:t>
            </w:r>
          </w:p>
        </w:tc>
        <w:tc>
          <w:tcPr>
            <w:tcW w:w="10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Apportionment of Previous Year Surplus/(Deficit)</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382</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Central Government</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314</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306</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(9)</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5B2E0B">
            <w:pPr>
              <w:rPr>
                <w:rFonts w:cs="Courier New"/>
                <w:sz w:val="18"/>
                <w:szCs w:val="18"/>
              </w:rPr>
            </w:pPr>
            <w:r w:rsidRPr="00EC06E7">
              <w:rPr>
                <w:rFonts w:cs="Courier New"/>
                <w:sz w:val="18"/>
                <w:szCs w:val="18"/>
              </w:rPr>
              <w:t xml:space="preserve">    So</w:t>
            </w:r>
            <w:r w:rsidR="005B2E0B">
              <w:rPr>
                <w:rFonts w:cs="Courier New"/>
                <w:sz w:val="18"/>
                <w:szCs w:val="18"/>
              </w:rPr>
              <w:t>uth Ribble Borough Council</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251</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145</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69</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(44)</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Lancashire County Council</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57</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201C5D" w:rsidRPr="00EC06E7" w:rsidRDefault="00201C5D" w:rsidP="00081531">
            <w:pPr>
              <w:jc w:val="right"/>
              <w:rPr>
                <w:rFonts w:cs="Courier New"/>
                <w:sz w:val="18"/>
                <w:szCs w:val="18"/>
              </w:rPr>
            </w:pPr>
            <w:r>
              <w:rPr>
                <w:rFonts w:cs="Courier New"/>
                <w:sz w:val="18"/>
                <w:szCs w:val="18"/>
              </w:rPr>
              <w:t>783</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(6)</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Police &amp; Crime Commissioner for Lancashire</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108</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8</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Lancashire Combined Fire Authority</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6</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44</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b/>
                <w:sz w:val="18"/>
                <w:szCs w:val="18"/>
              </w:rPr>
            </w:pPr>
            <w:r w:rsidRPr="00EC06E7">
              <w:rPr>
                <w:rFonts w:cs="Courier New"/>
                <w:b/>
                <w:sz w:val="18"/>
                <w:szCs w:val="18"/>
              </w:rPr>
              <w:t>Precepts, Demands and Shares</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19,473</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Central Government</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16</w:t>
            </w:r>
            <w:r w:rsidRPr="00EC06E7">
              <w:rPr>
                <w:rFonts w:cs="Courier New"/>
                <w:sz w:val="18"/>
                <w:szCs w:val="18"/>
              </w:rPr>
              <w:t>,</w:t>
            </w:r>
            <w:r>
              <w:rPr>
                <w:rFonts w:cs="Courier New"/>
                <w:sz w:val="18"/>
                <w:szCs w:val="18"/>
              </w:rPr>
              <w:t>372</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15,578</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7,575</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5B2E0B">
            <w:pPr>
              <w:rPr>
                <w:rFonts w:cs="Courier New"/>
                <w:sz w:val="18"/>
                <w:szCs w:val="18"/>
              </w:rPr>
            </w:pPr>
            <w:r w:rsidRPr="00EC06E7">
              <w:rPr>
                <w:rFonts w:cs="Courier New"/>
                <w:sz w:val="18"/>
                <w:szCs w:val="18"/>
              </w:rPr>
              <w:t xml:space="preserve">    So</w:t>
            </w:r>
            <w:r w:rsidR="005B2E0B">
              <w:rPr>
                <w:rFonts w:cs="Courier New"/>
                <w:sz w:val="18"/>
                <w:szCs w:val="18"/>
              </w:rPr>
              <w:t xml:space="preserve">uth Ribble Borough Council </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w:t>
            </w:r>
            <w:r>
              <w:rPr>
                <w:rFonts w:cs="Courier New"/>
                <w:sz w:val="18"/>
                <w:szCs w:val="18"/>
              </w:rPr>
              <w:t>3</w:t>
            </w:r>
            <w:r w:rsidRPr="00EC06E7">
              <w:rPr>
                <w:rFonts w:cs="Courier New"/>
                <w:sz w:val="18"/>
                <w:szCs w:val="18"/>
              </w:rPr>
              <w:t>,</w:t>
            </w:r>
            <w:r>
              <w:rPr>
                <w:rFonts w:cs="Courier New"/>
                <w:sz w:val="18"/>
                <w:szCs w:val="18"/>
              </w:rPr>
              <w:t>098</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201C5D" w:rsidRPr="00EC06E7" w:rsidRDefault="00201C5D" w:rsidP="00081531">
            <w:pPr>
              <w:jc w:val="right"/>
              <w:rPr>
                <w:rFonts w:cs="Courier New"/>
                <w:sz w:val="18"/>
                <w:szCs w:val="18"/>
              </w:rPr>
            </w:pPr>
            <w:r w:rsidRPr="00EC06E7">
              <w:rPr>
                <w:rFonts w:cs="Courier New"/>
                <w:sz w:val="18"/>
                <w:szCs w:val="18"/>
              </w:rPr>
              <w:t>7,</w:t>
            </w:r>
            <w:r>
              <w:rPr>
                <w:rFonts w:cs="Courier New"/>
                <w:sz w:val="18"/>
                <w:szCs w:val="18"/>
              </w:rPr>
              <w:t>751</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3,505</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40,903</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Lancashire County Council</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2</w:t>
            </w:r>
            <w:r w:rsidRPr="00EC06E7">
              <w:rPr>
                <w:rFonts w:cs="Courier New"/>
                <w:sz w:val="18"/>
                <w:szCs w:val="18"/>
              </w:rPr>
              <w:t>,</w:t>
            </w:r>
            <w:r>
              <w:rPr>
                <w:rFonts w:cs="Courier New"/>
                <w:sz w:val="18"/>
                <w:szCs w:val="18"/>
              </w:rPr>
              <w:t>947</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43</w:t>
            </w:r>
            <w:r w:rsidRPr="00EC06E7">
              <w:rPr>
                <w:rFonts w:cs="Courier New"/>
                <w:sz w:val="18"/>
                <w:szCs w:val="18"/>
              </w:rPr>
              <w:t>,</w:t>
            </w:r>
            <w:r>
              <w:rPr>
                <w:rFonts w:cs="Courier New"/>
                <w:sz w:val="18"/>
                <w:szCs w:val="18"/>
              </w:rPr>
              <w:t>112</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5,648</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Police &amp; Crime Commissioner for Lancashire</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5,</w:t>
            </w:r>
            <w:r>
              <w:rPr>
                <w:rFonts w:cs="Courier New"/>
                <w:sz w:val="18"/>
                <w:szCs w:val="18"/>
              </w:rPr>
              <w:t>838</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389</w:t>
            </w:r>
          </w:p>
        </w:tc>
        <w:tc>
          <w:tcPr>
            <w:tcW w:w="1055"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jc w:val="right"/>
              <w:rPr>
                <w:rFonts w:cs="Courier New"/>
                <w:sz w:val="18"/>
                <w:szCs w:val="18"/>
              </w:rPr>
            </w:pPr>
            <w:r w:rsidRPr="00EC06E7">
              <w:rPr>
                <w:rFonts w:cs="Courier New"/>
                <w:sz w:val="18"/>
                <w:szCs w:val="18"/>
              </w:rPr>
              <w:t>2,280</w:t>
            </w:r>
          </w:p>
        </w:tc>
        <w:tc>
          <w:tcPr>
            <w:tcW w:w="542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Lancashire Combined Fire Authority</w:t>
            </w:r>
          </w:p>
        </w:tc>
        <w:tc>
          <w:tcPr>
            <w:tcW w:w="10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327</w:t>
            </w:r>
          </w:p>
        </w:tc>
        <w:tc>
          <w:tcPr>
            <w:tcW w:w="1054"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jc w:val="right"/>
              <w:rPr>
                <w:rFonts w:cs="Courier New"/>
                <w:sz w:val="18"/>
                <w:szCs w:val="18"/>
              </w:rPr>
            </w:pPr>
            <w:r w:rsidRPr="00EC06E7">
              <w:rPr>
                <w:rFonts w:cs="Courier New"/>
                <w:sz w:val="18"/>
                <w:szCs w:val="18"/>
              </w:rPr>
              <w:t>2,</w:t>
            </w:r>
            <w:r>
              <w:rPr>
                <w:rFonts w:cs="Courier New"/>
                <w:sz w:val="18"/>
                <w:szCs w:val="18"/>
              </w:rPr>
              <w:t>311</w:t>
            </w:r>
          </w:p>
        </w:tc>
      </w:tr>
      <w:tr w:rsidR="00201C5D" w:rsidRPr="00EC06E7" w:rsidTr="00081531">
        <w:trPr>
          <w:trHeight w:val="284"/>
          <w:jc w:val="center"/>
        </w:trPr>
        <w:tc>
          <w:tcPr>
            <w:tcW w:w="1055" w:type="dxa"/>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39,710</w:t>
            </w:r>
          </w:p>
        </w:tc>
        <w:tc>
          <w:tcPr>
            <w:tcW w:w="1055"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56,344</w:t>
            </w:r>
          </w:p>
        </w:tc>
        <w:tc>
          <w:tcPr>
            <w:tcW w:w="542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18"/>
                <w:szCs w:val="18"/>
              </w:rPr>
            </w:pPr>
            <w:r w:rsidRPr="00EC06E7">
              <w:rPr>
                <w:rFonts w:cs="Courier New"/>
                <w:b/>
                <w:sz w:val="18"/>
                <w:szCs w:val="18"/>
              </w:rPr>
              <w:t>Total Expenditure</w:t>
            </w:r>
          </w:p>
        </w:tc>
        <w:tc>
          <w:tcPr>
            <w:tcW w:w="105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Pr>
                <w:rFonts w:cs="Courier New"/>
                <w:b/>
                <w:sz w:val="18"/>
                <w:szCs w:val="18"/>
              </w:rPr>
              <w:t>33</w:t>
            </w:r>
            <w:r w:rsidRPr="00EC06E7">
              <w:rPr>
                <w:rFonts w:cs="Courier New"/>
                <w:b/>
                <w:sz w:val="18"/>
                <w:szCs w:val="18"/>
              </w:rPr>
              <w:t>,</w:t>
            </w:r>
            <w:r>
              <w:rPr>
                <w:rFonts w:cs="Courier New"/>
                <w:b/>
                <w:sz w:val="18"/>
                <w:szCs w:val="18"/>
              </w:rPr>
              <w:t>372</w:t>
            </w:r>
          </w:p>
        </w:tc>
        <w:tc>
          <w:tcPr>
            <w:tcW w:w="1054"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jc w:val="right"/>
              <w:rPr>
                <w:rFonts w:cs="Courier New"/>
                <w:b/>
                <w:sz w:val="18"/>
                <w:szCs w:val="18"/>
              </w:rPr>
            </w:pPr>
            <w:r>
              <w:rPr>
                <w:rFonts w:cs="Courier New"/>
                <w:b/>
                <w:sz w:val="18"/>
                <w:szCs w:val="18"/>
              </w:rPr>
              <w:t>60,092</w:t>
            </w:r>
          </w:p>
        </w:tc>
      </w:tr>
      <w:tr w:rsidR="00201C5D" w:rsidRPr="00EC06E7" w:rsidTr="00081531">
        <w:trPr>
          <w:trHeight w:val="284"/>
          <w:jc w:val="center"/>
        </w:trPr>
        <w:tc>
          <w:tcPr>
            <w:tcW w:w="1055"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b/>
                <w:sz w:val="18"/>
                <w:szCs w:val="18"/>
              </w:rPr>
            </w:pPr>
            <w:r w:rsidRPr="00EC06E7">
              <w:rPr>
                <w:rFonts w:cs="Courier New"/>
                <w:b/>
                <w:sz w:val="18"/>
                <w:szCs w:val="18"/>
              </w:rPr>
              <w:t>Charges to Collection Fund</w:t>
            </w:r>
          </w:p>
        </w:tc>
        <w:tc>
          <w:tcPr>
            <w:tcW w:w="10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13</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238</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Write offs of uncollectable amounts</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41</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162</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97</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69</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Increase / (Decrease) in Bad Debt Provision</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335</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108</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(300)</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Increase / (Decrease) in Provision for Appeals</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1,250</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128</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Cost of Collection Allowance</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12</w:t>
            </w:r>
            <w:r>
              <w:rPr>
                <w:rFonts w:cs="Courier New"/>
                <w:sz w:val="18"/>
                <w:szCs w:val="18"/>
              </w:rPr>
              <w:t>4</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Pr>
                <w:rFonts w:cs="Courier New"/>
                <w:sz w:val="18"/>
                <w:szCs w:val="18"/>
              </w:rPr>
              <w:t xml:space="preserve">    Disregarded Amounts (Renewable Energy Scheme)</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9</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(26)</w:t>
            </w:r>
          </w:p>
        </w:tc>
        <w:tc>
          <w:tcPr>
            <w:tcW w:w="1055"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 xml:space="preserve">    Transitional Protection Payments</w:t>
            </w:r>
          </w:p>
        </w:tc>
        <w:tc>
          <w:tcPr>
            <w:tcW w:w="10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2,990</w:t>
            </w:r>
          </w:p>
        </w:tc>
        <w:tc>
          <w:tcPr>
            <w:tcW w:w="1054"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(88)</w:t>
            </w:r>
          </w:p>
        </w:tc>
        <w:tc>
          <w:tcPr>
            <w:tcW w:w="1055"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jc w:val="right"/>
              <w:rPr>
                <w:rFonts w:cs="Courier New"/>
                <w:b/>
                <w:sz w:val="18"/>
                <w:szCs w:val="18"/>
              </w:rPr>
            </w:pPr>
            <w:r w:rsidRPr="00EC06E7">
              <w:rPr>
                <w:rFonts w:cs="Courier New"/>
                <w:b/>
                <w:sz w:val="18"/>
                <w:szCs w:val="18"/>
              </w:rPr>
              <w:t>307</w:t>
            </w:r>
          </w:p>
        </w:tc>
        <w:tc>
          <w:tcPr>
            <w:tcW w:w="542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rPr>
                <w:rFonts w:cs="Courier New"/>
                <w:b/>
                <w:sz w:val="18"/>
                <w:szCs w:val="18"/>
              </w:rPr>
            </w:pPr>
            <w:r w:rsidRPr="00EC06E7">
              <w:rPr>
                <w:rFonts w:cs="Courier New"/>
                <w:b/>
                <w:sz w:val="18"/>
                <w:szCs w:val="18"/>
              </w:rPr>
              <w:t>Total Charges to the Collection Fund</w:t>
            </w:r>
          </w:p>
        </w:tc>
        <w:tc>
          <w:tcPr>
            <w:tcW w:w="105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rsidR="00201C5D" w:rsidRPr="00EC06E7" w:rsidRDefault="00201C5D" w:rsidP="00081531">
            <w:pPr>
              <w:jc w:val="right"/>
              <w:rPr>
                <w:rFonts w:cs="Courier New"/>
                <w:b/>
                <w:sz w:val="18"/>
                <w:szCs w:val="18"/>
              </w:rPr>
            </w:pPr>
            <w:r>
              <w:rPr>
                <w:rFonts w:cs="Courier New"/>
                <w:b/>
                <w:sz w:val="18"/>
                <w:szCs w:val="18"/>
              </w:rPr>
              <w:t>4,749</w:t>
            </w:r>
          </w:p>
        </w:tc>
        <w:tc>
          <w:tcPr>
            <w:tcW w:w="1054"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201C5D" w:rsidRPr="00EC06E7" w:rsidRDefault="00201C5D" w:rsidP="00081531">
            <w:pPr>
              <w:jc w:val="right"/>
              <w:rPr>
                <w:rFonts w:cs="Courier New"/>
                <w:b/>
                <w:sz w:val="18"/>
                <w:szCs w:val="18"/>
              </w:rPr>
            </w:pPr>
            <w:r>
              <w:rPr>
                <w:rFonts w:cs="Courier New"/>
                <w:b/>
                <w:sz w:val="18"/>
                <w:szCs w:val="18"/>
              </w:rPr>
              <w:t>270</w:t>
            </w:r>
          </w:p>
        </w:tc>
      </w:tr>
      <w:tr w:rsidR="00201C5D" w:rsidRPr="00EC06E7" w:rsidTr="00081531">
        <w:trPr>
          <w:trHeight w:val="284"/>
          <w:jc w:val="center"/>
        </w:trPr>
        <w:tc>
          <w:tcPr>
            <w:tcW w:w="1055"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b/>
                <w:sz w:val="18"/>
                <w:szCs w:val="18"/>
              </w:rPr>
            </w:pPr>
            <w:r w:rsidRPr="00EC06E7">
              <w:rPr>
                <w:rFonts w:cs="Courier New"/>
                <w:b/>
                <w:sz w:val="18"/>
                <w:szCs w:val="18"/>
              </w:rPr>
              <w:t>(114)</w:t>
            </w:r>
          </w:p>
        </w:tc>
        <w:tc>
          <w:tcPr>
            <w:tcW w:w="1055" w:type="dxa"/>
            <w:tcBorders>
              <w:top w:val="single" w:sz="4" w:space="0" w:color="auto"/>
              <w:left w:val="single" w:sz="4" w:space="0" w:color="BFBFBF" w:themeColor="background1" w:themeShade="BF"/>
              <w:bottom w:val="single" w:sz="4" w:space="0" w:color="auto"/>
            </w:tcBorders>
            <w:shd w:val="clear" w:color="auto" w:fill="D9D9D9" w:themeFill="background1" w:themeFillShade="D9"/>
            <w:vAlign w:val="center"/>
          </w:tcPr>
          <w:p w:rsidR="00201C5D" w:rsidRPr="00EC06E7" w:rsidRDefault="00201C5D" w:rsidP="00081531">
            <w:pPr>
              <w:jc w:val="right"/>
              <w:rPr>
                <w:rFonts w:cs="Courier New"/>
                <w:b/>
                <w:sz w:val="18"/>
                <w:szCs w:val="18"/>
              </w:rPr>
            </w:pPr>
            <w:r w:rsidRPr="00EC06E7">
              <w:rPr>
                <w:rFonts w:cs="Courier New"/>
                <w:b/>
                <w:sz w:val="18"/>
                <w:szCs w:val="18"/>
              </w:rPr>
              <w:t>1,060</w:t>
            </w:r>
          </w:p>
        </w:tc>
        <w:tc>
          <w:tcPr>
            <w:tcW w:w="542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rPr>
                <w:rFonts w:cs="Courier New"/>
                <w:b/>
                <w:sz w:val="18"/>
                <w:szCs w:val="18"/>
              </w:rPr>
            </w:pPr>
            <w:r w:rsidRPr="00EC06E7">
              <w:rPr>
                <w:rFonts w:cs="Courier New"/>
                <w:b/>
                <w:sz w:val="18"/>
                <w:szCs w:val="18"/>
              </w:rPr>
              <w:t>Surplus / (deficit) arising during the year</w:t>
            </w:r>
          </w:p>
        </w:tc>
        <w:tc>
          <w:tcPr>
            <w:tcW w:w="105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b/>
                <w:sz w:val="18"/>
                <w:szCs w:val="18"/>
              </w:rPr>
            </w:pPr>
            <w:r>
              <w:rPr>
                <w:rFonts w:cs="Courier New"/>
                <w:b/>
                <w:sz w:val="18"/>
                <w:szCs w:val="18"/>
              </w:rPr>
              <w:t>(191</w:t>
            </w:r>
            <w:r w:rsidRPr="00EC06E7">
              <w:rPr>
                <w:rFonts w:cs="Courier New"/>
                <w:b/>
                <w:sz w:val="18"/>
                <w:szCs w:val="18"/>
              </w:rPr>
              <w:t>)</w:t>
            </w:r>
          </w:p>
        </w:tc>
        <w:tc>
          <w:tcPr>
            <w:tcW w:w="1054" w:type="dxa"/>
            <w:tcBorders>
              <w:top w:val="single" w:sz="4" w:space="0" w:color="auto"/>
              <w:left w:val="single" w:sz="4" w:space="0" w:color="BFBFBF" w:themeColor="background1" w:themeShade="BF"/>
              <w:bottom w:val="single" w:sz="4" w:space="0" w:color="auto"/>
            </w:tcBorders>
            <w:shd w:val="clear" w:color="auto" w:fill="D9D9D9" w:themeFill="background1" w:themeFillShade="D9"/>
            <w:vAlign w:val="center"/>
          </w:tcPr>
          <w:p w:rsidR="00201C5D" w:rsidRPr="00EC06E7" w:rsidRDefault="00201C5D" w:rsidP="00081531">
            <w:pPr>
              <w:jc w:val="right"/>
              <w:rPr>
                <w:rFonts w:cs="Courier New"/>
                <w:b/>
                <w:sz w:val="18"/>
                <w:szCs w:val="18"/>
              </w:rPr>
            </w:pPr>
            <w:r>
              <w:rPr>
                <w:rFonts w:cs="Courier New"/>
                <w:b/>
                <w:sz w:val="18"/>
                <w:szCs w:val="18"/>
              </w:rPr>
              <w:t>(383)</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b/>
                <w:sz w:val="18"/>
                <w:szCs w:val="18"/>
              </w:rPr>
            </w:pPr>
            <w:r w:rsidRPr="00EC06E7">
              <w:rPr>
                <w:rFonts w:cs="Courier New"/>
                <w:b/>
                <w:sz w:val="18"/>
                <w:szCs w:val="18"/>
              </w:rPr>
              <w:t>Collection Fund Balance</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776</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488</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Surplus / (deficit) brought forward at 1 April</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662</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1,548</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(114)</w:t>
            </w:r>
          </w:p>
        </w:tc>
        <w:tc>
          <w:tcPr>
            <w:tcW w:w="1055"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jc w:val="right"/>
              <w:rPr>
                <w:rFonts w:cs="Courier New"/>
                <w:sz w:val="18"/>
                <w:szCs w:val="18"/>
              </w:rPr>
            </w:pPr>
            <w:r w:rsidRPr="00EC06E7">
              <w:rPr>
                <w:rFonts w:cs="Courier New"/>
                <w:sz w:val="18"/>
                <w:szCs w:val="18"/>
              </w:rPr>
              <w:t>1,060</w:t>
            </w:r>
          </w:p>
        </w:tc>
        <w:tc>
          <w:tcPr>
            <w:tcW w:w="542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Surplus / (deficit) arising during the year</w:t>
            </w:r>
          </w:p>
        </w:tc>
        <w:tc>
          <w:tcPr>
            <w:tcW w:w="10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w:t>
            </w:r>
            <w:r>
              <w:rPr>
                <w:rFonts w:cs="Courier New"/>
                <w:sz w:val="18"/>
                <w:szCs w:val="18"/>
              </w:rPr>
              <w:t>91</w:t>
            </w:r>
            <w:r w:rsidRPr="00EC06E7">
              <w:rPr>
                <w:rFonts w:cs="Courier New"/>
                <w:sz w:val="18"/>
                <w:szCs w:val="18"/>
              </w:rPr>
              <w:t>)</w:t>
            </w:r>
          </w:p>
        </w:tc>
        <w:tc>
          <w:tcPr>
            <w:tcW w:w="1054"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jc w:val="right"/>
              <w:rPr>
                <w:rFonts w:cs="Courier New"/>
                <w:sz w:val="18"/>
                <w:szCs w:val="18"/>
              </w:rPr>
            </w:pPr>
            <w:r>
              <w:rPr>
                <w:rFonts w:cs="Courier New"/>
                <w:sz w:val="18"/>
                <w:szCs w:val="18"/>
              </w:rPr>
              <w:t>(383)</w:t>
            </w:r>
          </w:p>
        </w:tc>
      </w:tr>
      <w:tr w:rsidR="00201C5D" w:rsidRPr="00EC06E7" w:rsidTr="00081531">
        <w:trPr>
          <w:trHeight w:val="284"/>
          <w:jc w:val="center"/>
        </w:trPr>
        <w:tc>
          <w:tcPr>
            <w:tcW w:w="1055"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b/>
                <w:sz w:val="18"/>
                <w:szCs w:val="18"/>
              </w:rPr>
            </w:pPr>
            <w:r w:rsidRPr="00EC06E7">
              <w:rPr>
                <w:rFonts w:cs="Courier New"/>
                <w:b/>
                <w:sz w:val="18"/>
                <w:szCs w:val="18"/>
              </w:rPr>
              <w:t>662</w:t>
            </w:r>
          </w:p>
        </w:tc>
        <w:tc>
          <w:tcPr>
            <w:tcW w:w="1055" w:type="dxa"/>
            <w:tcBorders>
              <w:top w:val="single" w:sz="4" w:space="0" w:color="auto"/>
              <w:left w:val="single" w:sz="4" w:space="0" w:color="BFBFBF" w:themeColor="background1" w:themeShade="BF"/>
              <w:bottom w:val="single" w:sz="4" w:space="0" w:color="auto"/>
            </w:tcBorders>
            <w:shd w:val="clear" w:color="auto" w:fill="D9D9D9" w:themeFill="background1" w:themeFillShade="D9"/>
            <w:vAlign w:val="center"/>
          </w:tcPr>
          <w:p w:rsidR="00201C5D" w:rsidRPr="00EC06E7" w:rsidRDefault="00201C5D" w:rsidP="00081531">
            <w:pPr>
              <w:jc w:val="right"/>
              <w:rPr>
                <w:rFonts w:cs="Courier New"/>
                <w:b/>
                <w:sz w:val="18"/>
                <w:szCs w:val="18"/>
              </w:rPr>
            </w:pPr>
            <w:r w:rsidRPr="00EC06E7">
              <w:rPr>
                <w:rFonts w:cs="Courier New"/>
                <w:b/>
                <w:sz w:val="18"/>
                <w:szCs w:val="18"/>
              </w:rPr>
              <w:t>1,548</w:t>
            </w:r>
          </w:p>
        </w:tc>
        <w:tc>
          <w:tcPr>
            <w:tcW w:w="542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rPr>
                <w:rFonts w:cs="Courier New"/>
                <w:b/>
                <w:sz w:val="18"/>
                <w:szCs w:val="18"/>
              </w:rPr>
            </w:pPr>
            <w:r w:rsidRPr="00EC06E7">
              <w:rPr>
                <w:rFonts w:cs="Courier New"/>
                <w:b/>
                <w:sz w:val="18"/>
                <w:szCs w:val="18"/>
              </w:rPr>
              <w:t>Surplus / (deficit) carried forward at 31 March</w:t>
            </w:r>
          </w:p>
        </w:tc>
        <w:tc>
          <w:tcPr>
            <w:tcW w:w="105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b/>
                <w:sz w:val="18"/>
                <w:szCs w:val="18"/>
              </w:rPr>
            </w:pPr>
            <w:r>
              <w:rPr>
                <w:rFonts w:cs="Courier New"/>
                <w:b/>
                <w:sz w:val="18"/>
                <w:szCs w:val="18"/>
              </w:rPr>
              <w:t>471</w:t>
            </w:r>
          </w:p>
        </w:tc>
        <w:tc>
          <w:tcPr>
            <w:tcW w:w="1054" w:type="dxa"/>
            <w:tcBorders>
              <w:top w:val="single" w:sz="4" w:space="0" w:color="auto"/>
              <w:left w:val="single" w:sz="4" w:space="0" w:color="BFBFBF" w:themeColor="background1" w:themeShade="BF"/>
              <w:bottom w:val="single" w:sz="4" w:space="0" w:color="auto"/>
            </w:tcBorders>
            <w:shd w:val="clear" w:color="auto" w:fill="D9D9D9" w:themeFill="background1" w:themeFillShade="D9"/>
            <w:vAlign w:val="center"/>
          </w:tcPr>
          <w:p w:rsidR="00201C5D" w:rsidRPr="00EC06E7" w:rsidRDefault="00201C5D" w:rsidP="00081531">
            <w:pPr>
              <w:jc w:val="right"/>
              <w:rPr>
                <w:rFonts w:cs="Courier New"/>
                <w:b/>
                <w:sz w:val="18"/>
                <w:szCs w:val="18"/>
              </w:rPr>
            </w:pPr>
            <w:r w:rsidRPr="00EC06E7">
              <w:rPr>
                <w:rFonts w:cs="Courier New"/>
                <w:b/>
                <w:sz w:val="18"/>
                <w:szCs w:val="18"/>
              </w:rPr>
              <w:t>1,</w:t>
            </w:r>
            <w:r>
              <w:rPr>
                <w:rFonts w:cs="Courier New"/>
                <w:b/>
                <w:sz w:val="18"/>
                <w:szCs w:val="18"/>
              </w:rPr>
              <w:t>165</w:t>
            </w:r>
          </w:p>
        </w:tc>
      </w:tr>
      <w:tr w:rsidR="00201C5D" w:rsidRPr="00EC06E7" w:rsidTr="00081531">
        <w:trPr>
          <w:trHeight w:val="284"/>
          <w:jc w:val="center"/>
        </w:trPr>
        <w:tc>
          <w:tcPr>
            <w:tcW w:w="1055"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b/>
                <w:sz w:val="18"/>
                <w:szCs w:val="18"/>
              </w:rPr>
            </w:pPr>
            <w:r w:rsidRPr="00EC06E7">
              <w:rPr>
                <w:rFonts w:cs="Courier New"/>
                <w:b/>
                <w:sz w:val="18"/>
                <w:szCs w:val="18"/>
              </w:rPr>
              <w:t>Allocated to</w:t>
            </w:r>
          </w:p>
        </w:tc>
        <w:tc>
          <w:tcPr>
            <w:tcW w:w="10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auto"/>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265</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207</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5B2E0B">
            <w:pPr>
              <w:rPr>
                <w:rFonts w:cs="Courier New"/>
                <w:sz w:val="18"/>
                <w:szCs w:val="18"/>
              </w:rPr>
            </w:pPr>
            <w:r w:rsidRPr="00EC06E7">
              <w:rPr>
                <w:rFonts w:cs="Courier New"/>
                <w:sz w:val="18"/>
                <w:szCs w:val="18"/>
              </w:rPr>
              <w:t>Transfer to / (from) Collecti</w:t>
            </w:r>
            <w:r w:rsidR="005B2E0B">
              <w:rPr>
                <w:rFonts w:cs="Courier New"/>
                <w:sz w:val="18"/>
                <w:szCs w:val="18"/>
              </w:rPr>
              <w:t xml:space="preserve">on Fund Adjustment Account </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188</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150</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331</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Central Government</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235</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59</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1,125</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Lancashire County Council</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43</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854</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7</w:t>
            </w:r>
          </w:p>
        </w:tc>
        <w:tc>
          <w:tcPr>
            <w:tcW w:w="105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sidRPr="00EC06E7">
              <w:rPr>
                <w:rFonts w:cs="Courier New"/>
                <w:sz w:val="18"/>
                <w:szCs w:val="18"/>
              </w:rPr>
              <w:t>62</w:t>
            </w:r>
          </w:p>
        </w:tc>
        <w:tc>
          <w:tcPr>
            <w:tcW w:w="5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Lancashire Combined Fire Authority</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5</w:t>
            </w:r>
          </w:p>
        </w:tc>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01C5D" w:rsidRPr="00EC06E7" w:rsidRDefault="00201C5D" w:rsidP="00081531">
            <w:pPr>
              <w:jc w:val="right"/>
              <w:rPr>
                <w:rFonts w:cs="Courier New"/>
                <w:sz w:val="18"/>
                <w:szCs w:val="18"/>
              </w:rPr>
            </w:pPr>
            <w:r>
              <w:rPr>
                <w:rFonts w:cs="Courier New"/>
                <w:sz w:val="18"/>
                <w:szCs w:val="18"/>
              </w:rPr>
              <w:t>45</w:t>
            </w:r>
          </w:p>
        </w:tc>
      </w:tr>
      <w:tr w:rsidR="00201C5D" w:rsidRPr="00EC06E7" w:rsidTr="00081531">
        <w:trPr>
          <w:trHeight w:val="284"/>
          <w:jc w:val="center"/>
        </w:trPr>
        <w:tc>
          <w:tcPr>
            <w:tcW w:w="1055"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5"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jc w:val="right"/>
              <w:rPr>
                <w:rFonts w:cs="Courier New"/>
                <w:sz w:val="18"/>
                <w:szCs w:val="18"/>
              </w:rPr>
            </w:pPr>
            <w:r w:rsidRPr="00EC06E7">
              <w:rPr>
                <w:rFonts w:cs="Courier New"/>
                <w:sz w:val="18"/>
                <w:szCs w:val="18"/>
              </w:rPr>
              <w:t>154</w:t>
            </w:r>
          </w:p>
        </w:tc>
        <w:tc>
          <w:tcPr>
            <w:tcW w:w="542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rPr>
                <w:rFonts w:cs="Courier New"/>
                <w:sz w:val="18"/>
                <w:szCs w:val="18"/>
              </w:rPr>
            </w:pPr>
            <w:r w:rsidRPr="00EC06E7">
              <w:rPr>
                <w:rFonts w:cs="Courier New"/>
                <w:sz w:val="18"/>
                <w:szCs w:val="18"/>
              </w:rPr>
              <w:t>Police &amp; Crime Commissioner for Lancashire</w:t>
            </w:r>
          </w:p>
        </w:tc>
        <w:tc>
          <w:tcPr>
            <w:tcW w:w="10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01C5D" w:rsidRPr="00EC06E7" w:rsidRDefault="00201C5D" w:rsidP="00081531">
            <w:pPr>
              <w:jc w:val="right"/>
              <w:rPr>
                <w:rFonts w:cs="Courier New"/>
                <w:sz w:val="18"/>
                <w:szCs w:val="18"/>
              </w:rPr>
            </w:pPr>
          </w:p>
        </w:tc>
        <w:tc>
          <w:tcPr>
            <w:tcW w:w="1054" w:type="dxa"/>
            <w:tcBorders>
              <w:top w:val="single" w:sz="4" w:space="0" w:color="BFBFBF" w:themeColor="background1" w:themeShade="BF"/>
              <w:left w:val="single" w:sz="4" w:space="0" w:color="BFBFBF" w:themeColor="background1" w:themeShade="BF"/>
              <w:bottom w:val="single" w:sz="4" w:space="0" w:color="auto"/>
            </w:tcBorders>
            <w:vAlign w:val="center"/>
          </w:tcPr>
          <w:p w:rsidR="00201C5D" w:rsidRPr="00EC06E7" w:rsidRDefault="00201C5D" w:rsidP="00081531">
            <w:pPr>
              <w:jc w:val="right"/>
              <w:rPr>
                <w:rFonts w:cs="Courier New"/>
                <w:sz w:val="18"/>
                <w:szCs w:val="18"/>
              </w:rPr>
            </w:pPr>
            <w:r>
              <w:rPr>
                <w:rFonts w:cs="Courier New"/>
                <w:sz w:val="18"/>
                <w:szCs w:val="18"/>
              </w:rPr>
              <w:t>116</w:t>
            </w:r>
          </w:p>
        </w:tc>
      </w:tr>
      <w:tr w:rsidR="00201C5D" w:rsidRPr="00EC06E7" w:rsidTr="00081531">
        <w:trPr>
          <w:trHeight w:val="284"/>
          <w:jc w:val="center"/>
        </w:trPr>
        <w:tc>
          <w:tcPr>
            <w:tcW w:w="1055"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b/>
                <w:sz w:val="18"/>
                <w:szCs w:val="18"/>
              </w:rPr>
            </w:pPr>
            <w:r w:rsidRPr="00EC06E7">
              <w:rPr>
                <w:rFonts w:cs="Courier New"/>
                <w:b/>
                <w:sz w:val="18"/>
                <w:szCs w:val="18"/>
              </w:rPr>
              <w:t>662</w:t>
            </w:r>
          </w:p>
        </w:tc>
        <w:tc>
          <w:tcPr>
            <w:tcW w:w="1055" w:type="dxa"/>
            <w:tcBorders>
              <w:top w:val="single" w:sz="4" w:space="0" w:color="auto"/>
              <w:left w:val="single" w:sz="4" w:space="0" w:color="BFBFBF" w:themeColor="background1" w:themeShade="BF"/>
              <w:bottom w:val="single" w:sz="4" w:space="0" w:color="auto"/>
            </w:tcBorders>
            <w:shd w:val="clear" w:color="auto" w:fill="D9D9D9" w:themeFill="background1" w:themeFillShade="D9"/>
            <w:vAlign w:val="center"/>
          </w:tcPr>
          <w:p w:rsidR="00201C5D" w:rsidRPr="00EC06E7" w:rsidRDefault="00201C5D" w:rsidP="00081531">
            <w:pPr>
              <w:jc w:val="right"/>
              <w:rPr>
                <w:rFonts w:cs="Courier New"/>
                <w:b/>
                <w:sz w:val="18"/>
                <w:szCs w:val="18"/>
              </w:rPr>
            </w:pPr>
            <w:r w:rsidRPr="00EC06E7">
              <w:rPr>
                <w:rFonts w:cs="Courier New"/>
                <w:b/>
                <w:sz w:val="18"/>
                <w:szCs w:val="18"/>
              </w:rPr>
              <w:t>1,548</w:t>
            </w:r>
          </w:p>
        </w:tc>
        <w:tc>
          <w:tcPr>
            <w:tcW w:w="542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rPr>
                <w:rFonts w:cs="Courier New"/>
                <w:b/>
                <w:sz w:val="18"/>
                <w:szCs w:val="18"/>
              </w:rPr>
            </w:pPr>
            <w:r w:rsidRPr="00EC06E7">
              <w:rPr>
                <w:rFonts w:cs="Courier New"/>
                <w:b/>
                <w:sz w:val="18"/>
                <w:szCs w:val="18"/>
              </w:rPr>
              <w:t xml:space="preserve">Surplus / (deficit) carried forward at 31 March </w:t>
            </w:r>
          </w:p>
        </w:tc>
        <w:tc>
          <w:tcPr>
            <w:tcW w:w="105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201C5D" w:rsidRPr="00EC06E7" w:rsidRDefault="00201C5D" w:rsidP="00081531">
            <w:pPr>
              <w:jc w:val="right"/>
              <w:rPr>
                <w:rFonts w:cs="Courier New"/>
                <w:b/>
                <w:sz w:val="18"/>
                <w:szCs w:val="18"/>
              </w:rPr>
            </w:pPr>
            <w:r>
              <w:rPr>
                <w:rFonts w:cs="Courier New"/>
                <w:b/>
                <w:sz w:val="18"/>
                <w:szCs w:val="18"/>
              </w:rPr>
              <w:t>471</w:t>
            </w:r>
          </w:p>
        </w:tc>
        <w:tc>
          <w:tcPr>
            <w:tcW w:w="1054" w:type="dxa"/>
            <w:tcBorders>
              <w:top w:val="single" w:sz="4" w:space="0" w:color="auto"/>
              <w:left w:val="single" w:sz="4" w:space="0" w:color="BFBFBF" w:themeColor="background1" w:themeShade="BF"/>
              <w:bottom w:val="single" w:sz="4" w:space="0" w:color="auto"/>
            </w:tcBorders>
            <w:shd w:val="clear" w:color="auto" w:fill="D9D9D9" w:themeFill="background1" w:themeFillShade="D9"/>
            <w:vAlign w:val="center"/>
          </w:tcPr>
          <w:p w:rsidR="00201C5D" w:rsidRPr="00EC06E7" w:rsidRDefault="00201C5D" w:rsidP="00081531">
            <w:pPr>
              <w:jc w:val="right"/>
              <w:rPr>
                <w:rFonts w:cs="Courier New"/>
                <w:b/>
                <w:sz w:val="18"/>
                <w:szCs w:val="18"/>
              </w:rPr>
            </w:pPr>
            <w:r w:rsidRPr="00EC06E7">
              <w:rPr>
                <w:rFonts w:cs="Courier New"/>
                <w:b/>
                <w:sz w:val="18"/>
                <w:szCs w:val="18"/>
              </w:rPr>
              <w:t>1,</w:t>
            </w:r>
            <w:r>
              <w:rPr>
                <w:rFonts w:cs="Courier New"/>
                <w:b/>
                <w:sz w:val="18"/>
                <w:szCs w:val="18"/>
              </w:rPr>
              <w:t>165</w:t>
            </w:r>
          </w:p>
        </w:tc>
      </w:tr>
    </w:tbl>
    <w:p w:rsidR="00201C5D" w:rsidRPr="001D3551" w:rsidRDefault="00201C5D" w:rsidP="00201C5D">
      <w:pPr>
        <w:rPr>
          <w:rFonts w:cs="Courier New"/>
          <w:color w:val="FF0000"/>
          <w:szCs w:val="22"/>
          <w:highlight w:val="yellow"/>
        </w:rPr>
      </w:pPr>
    </w:p>
    <w:p w:rsidR="00201C5D" w:rsidRPr="001D3551" w:rsidRDefault="00201C5D" w:rsidP="00201C5D">
      <w:pPr>
        <w:jc w:val="both"/>
        <w:rPr>
          <w:rFonts w:cs="Arial"/>
          <w:szCs w:val="22"/>
          <w:highlight w:val="yellow"/>
        </w:rPr>
      </w:pPr>
    </w:p>
    <w:p w:rsidR="00201C5D" w:rsidRPr="001D3551" w:rsidRDefault="00201C5D" w:rsidP="00201C5D">
      <w:pPr>
        <w:keepNext/>
        <w:numPr>
          <w:ilvl w:val="1"/>
          <w:numId w:val="8"/>
        </w:numPr>
        <w:ind w:left="851" w:hanging="567"/>
        <w:jc w:val="both"/>
        <w:outlineLvl w:val="0"/>
        <w:rPr>
          <w:rFonts w:cs="Arial"/>
          <w:szCs w:val="22"/>
        </w:rPr>
      </w:pPr>
      <w:r w:rsidRPr="001D3551">
        <w:rPr>
          <w:rFonts w:cs="Arial"/>
          <w:szCs w:val="22"/>
        </w:rPr>
        <w:t>The main points to note relating to the Collection Fund are as follows:-</w:t>
      </w:r>
    </w:p>
    <w:p w:rsidR="00201C5D" w:rsidRPr="001D3551" w:rsidRDefault="00201C5D" w:rsidP="00201C5D">
      <w:pPr>
        <w:ind w:hanging="436"/>
        <w:jc w:val="both"/>
        <w:rPr>
          <w:rFonts w:cs="Arial"/>
          <w:szCs w:val="22"/>
        </w:rPr>
      </w:pPr>
    </w:p>
    <w:p w:rsidR="00281AE1" w:rsidRDefault="00281AE1" w:rsidP="00201C5D">
      <w:pPr>
        <w:numPr>
          <w:ilvl w:val="0"/>
          <w:numId w:val="32"/>
        </w:numPr>
        <w:spacing w:after="120"/>
        <w:jc w:val="both"/>
        <w:rPr>
          <w:rFonts w:cs="Courier New"/>
          <w:szCs w:val="22"/>
        </w:rPr>
      </w:pPr>
      <w:r>
        <w:rPr>
          <w:rFonts w:cs="Courier New"/>
          <w:szCs w:val="22"/>
        </w:rPr>
        <w:t>Business Rates income has fallen significantly due to the 2017 revaluation, reducing the overall rateable value of business premises in the borough by</w:t>
      </w:r>
      <w:r w:rsidR="00035DB0">
        <w:rPr>
          <w:rFonts w:cs="Courier New"/>
          <w:szCs w:val="22"/>
        </w:rPr>
        <w:t xml:space="preserve"> £4.954m from £91.014m in 2016/17 to </w:t>
      </w:r>
      <w:r w:rsidR="000D01B5">
        <w:rPr>
          <w:rFonts w:cs="Courier New"/>
          <w:szCs w:val="22"/>
        </w:rPr>
        <w:t>£</w:t>
      </w:r>
      <w:r w:rsidR="00035DB0">
        <w:rPr>
          <w:rFonts w:cs="Courier New"/>
          <w:szCs w:val="22"/>
        </w:rPr>
        <w:t>86.060m in 2017/18. The standard business rates multiplier also reduced from 49.7pence in 2016/17 to 47.9pence in 2017/18, further reducing the collectable income.</w:t>
      </w:r>
    </w:p>
    <w:p w:rsidR="00201C5D" w:rsidRPr="00803F37" w:rsidRDefault="00201C5D" w:rsidP="00201C5D">
      <w:pPr>
        <w:numPr>
          <w:ilvl w:val="0"/>
          <w:numId w:val="32"/>
        </w:numPr>
        <w:spacing w:after="120"/>
        <w:jc w:val="both"/>
        <w:rPr>
          <w:rFonts w:cs="Courier New"/>
          <w:szCs w:val="22"/>
        </w:rPr>
      </w:pPr>
      <w:r w:rsidRPr="00803F37">
        <w:rPr>
          <w:rFonts w:cs="Courier New"/>
          <w:szCs w:val="22"/>
        </w:rPr>
        <w:t xml:space="preserve">The Collection Fund in relation </w:t>
      </w:r>
      <w:r>
        <w:rPr>
          <w:rFonts w:cs="Courier New"/>
          <w:szCs w:val="22"/>
        </w:rPr>
        <w:t xml:space="preserve">to Council Tax has generated a </w:t>
      </w:r>
      <w:r w:rsidR="00035DB0">
        <w:rPr>
          <w:rFonts w:cs="Courier New"/>
          <w:szCs w:val="22"/>
        </w:rPr>
        <w:t>small deficit in the year of £0</w:t>
      </w:r>
      <w:r w:rsidRPr="00803F37">
        <w:rPr>
          <w:rFonts w:cs="Courier New"/>
          <w:szCs w:val="22"/>
        </w:rPr>
        <w:t>.</w:t>
      </w:r>
      <w:r w:rsidR="00EB5C5D">
        <w:rPr>
          <w:rFonts w:cs="Courier New"/>
          <w:szCs w:val="22"/>
        </w:rPr>
        <w:t>383</w:t>
      </w:r>
      <w:r w:rsidRPr="00803F37">
        <w:rPr>
          <w:rFonts w:cs="Courier New"/>
          <w:szCs w:val="22"/>
        </w:rPr>
        <w:t>m (</w:t>
      </w:r>
      <w:r w:rsidR="00035DB0">
        <w:rPr>
          <w:rFonts w:cs="Courier New"/>
          <w:szCs w:val="22"/>
        </w:rPr>
        <w:t>surplus</w:t>
      </w:r>
      <w:r w:rsidRPr="00803F37">
        <w:rPr>
          <w:rFonts w:cs="Courier New"/>
          <w:szCs w:val="22"/>
        </w:rPr>
        <w:t xml:space="preserve"> of £</w:t>
      </w:r>
      <w:r w:rsidR="00035DB0">
        <w:rPr>
          <w:rFonts w:cs="Courier New"/>
          <w:szCs w:val="22"/>
        </w:rPr>
        <w:t>1</w:t>
      </w:r>
      <w:r w:rsidRPr="00803F37">
        <w:rPr>
          <w:rFonts w:cs="Courier New"/>
          <w:szCs w:val="22"/>
        </w:rPr>
        <w:t>.</w:t>
      </w:r>
      <w:r w:rsidR="00035DB0">
        <w:rPr>
          <w:rFonts w:cs="Courier New"/>
          <w:szCs w:val="22"/>
        </w:rPr>
        <w:t>060</w:t>
      </w:r>
      <w:r w:rsidRPr="00803F37">
        <w:rPr>
          <w:rFonts w:cs="Courier New"/>
          <w:szCs w:val="22"/>
        </w:rPr>
        <w:t xml:space="preserve"> in 201</w:t>
      </w:r>
      <w:r w:rsidR="00035DB0">
        <w:rPr>
          <w:rFonts w:cs="Courier New"/>
          <w:szCs w:val="22"/>
        </w:rPr>
        <w:t>6</w:t>
      </w:r>
      <w:r w:rsidRPr="00803F37">
        <w:rPr>
          <w:rFonts w:cs="Courier New"/>
          <w:szCs w:val="22"/>
        </w:rPr>
        <w:t>/1</w:t>
      </w:r>
      <w:r w:rsidR="00035DB0">
        <w:rPr>
          <w:rFonts w:cs="Courier New"/>
          <w:szCs w:val="22"/>
        </w:rPr>
        <w:t>7</w:t>
      </w:r>
      <w:r w:rsidRPr="00803F37">
        <w:rPr>
          <w:rFonts w:cs="Courier New"/>
          <w:szCs w:val="22"/>
        </w:rPr>
        <w:t xml:space="preserve">). </w:t>
      </w:r>
    </w:p>
    <w:p w:rsidR="00281AE1" w:rsidRDefault="00201C5D" w:rsidP="00281AE1">
      <w:pPr>
        <w:numPr>
          <w:ilvl w:val="0"/>
          <w:numId w:val="32"/>
        </w:numPr>
        <w:spacing w:after="120"/>
        <w:jc w:val="both"/>
        <w:rPr>
          <w:rFonts w:cs="Courier New"/>
          <w:szCs w:val="22"/>
        </w:rPr>
      </w:pPr>
      <w:r w:rsidRPr="00803F37">
        <w:rPr>
          <w:rFonts w:cs="Courier New"/>
          <w:szCs w:val="22"/>
        </w:rPr>
        <w:t>The Collection Fund in relation to Business Rates has generated an in year deficit of £</w:t>
      </w:r>
      <w:r>
        <w:rPr>
          <w:rFonts w:cs="Courier New"/>
          <w:szCs w:val="22"/>
        </w:rPr>
        <w:t>0</w:t>
      </w:r>
      <w:r w:rsidRPr="00803F37">
        <w:rPr>
          <w:rFonts w:cs="Courier New"/>
          <w:szCs w:val="22"/>
        </w:rPr>
        <w:t>.</w:t>
      </w:r>
      <w:r w:rsidR="00EB5C5D">
        <w:rPr>
          <w:rFonts w:cs="Courier New"/>
          <w:szCs w:val="22"/>
        </w:rPr>
        <w:t>191</w:t>
      </w:r>
      <w:r w:rsidRPr="00803F37">
        <w:rPr>
          <w:rFonts w:cs="Courier New"/>
          <w:szCs w:val="22"/>
        </w:rPr>
        <w:t>m (</w:t>
      </w:r>
      <w:r>
        <w:rPr>
          <w:rFonts w:cs="Courier New"/>
          <w:szCs w:val="22"/>
        </w:rPr>
        <w:t>deficit</w:t>
      </w:r>
      <w:r w:rsidRPr="00803F37">
        <w:rPr>
          <w:rFonts w:cs="Courier New"/>
          <w:szCs w:val="22"/>
        </w:rPr>
        <w:t xml:space="preserve"> of £</w:t>
      </w:r>
      <w:r w:rsidR="00035DB0">
        <w:rPr>
          <w:rFonts w:cs="Courier New"/>
          <w:szCs w:val="22"/>
        </w:rPr>
        <w:t>0</w:t>
      </w:r>
      <w:r w:rsidRPr="00803F37">
        <w:rPr>
          <w:rFonts w:cs="Courier New"/>
          <w:szCs w:val="22"/>
        </w:rPr>
        <w:t>.</w:t>
      </w:r>
      <w:r w:rsidR="00035DB0">
        <w:rPr>
          <w:rFonts w:cs="Courier New"/>
          <w:szCs w:val="22"/>
        </w:rPr>
        <w:t>114</w:t>
      </w:r>
      <w:r w:rsidRPr="00803F37">
        <w:rPr>
          <w:rFonts w:cs="Courier New"/>
          <w:szCs w:val="22"/>
        </w:rPr>
        <w:t>m in 201</w:t>
      </w:r>
      <w:r w:rsidR="00035DB0">
        <w:rPr>
          <w:rFonts w:cs="Courier New"/>
          <w:szCs w:val="22"/>
        </w:rPr>
        <w:t>6</w:t>
      </w:r>
      <w:r w:rsidRPr="00803F37">
        <w:rPr>
          <w:rFonts w:cs="Courier New"/>
          <w:szCs w:val="22"/>
        </w:rPr>
        <w:t>/1</w:t>
      </w:r>
      <w:r w:rsidR="00035DB0">
        <w:rPr>
          <w:rFonts w:cs="Courier New"/>
          <w:szCs w:val="22"/>
        </w:rPr>
        <w:t>7</w:t>
      </w:r>
      <w:r>
        <w:rPr>
          <w:rFonts w:cs="Courier New"/>
          <w:szCs w:val="22"/>
        </w:rPr>
        <w:t>).</w:t>
      </w:r>
    </w:p>
    <w:p w:rsidR="00281AE1" w:rsidRDefault="00201C5D" w:rsidP="00281AE1">
      <w:pPr>
        <w:numPr>
          <w:ilvl w:val="0"/>
          <w:numId w:val="32"/>
        </w:numPr>
        <w:spacing w:after="120"/>
        <w:ind w:hanging="436"/>
        <w:jc w:val="both"/>
        <w:rPr>
          <w:rFonts w:cs="Arial"/>
          <w:szCs w:val="22"/>
        </w:rPr>
      </w:pPr>
      <w:r w:rsidRPr="00281AE1">
        <w:rPr>
          <w:rFonts w:cs="Arial"/>
          <w:szCs w:val="22"/>
        </w:rPr>
        <w:t>The Council Tax element of the Collection Fund accumulated surplus is £1</w:t>
      </w:r>
      <w:r w:rsidR="00035DB0">
        <w:rPr>
          <w:rFonts w:cs="Arial"/>
          <w:szCs w:val="22"/>
        </w:rPr>
        <w:t>.165</w:t>
      </w:r>
      <w:r w:rsidRPr="00281AE1">
        <w:rPr>
          <w:rFonts w:cs="Arial"/>
          <w:szCs w:val="22"/>
        </w:rPr>
        <w:t>m at 31</w:t>
      </w:r>
      <w:r w:rsidRPr="00281AE1">
        <w:rPr>
          <w:rFonts w:cs="Arial"/>
          <w:szCs w:val="22"/>
          <w:vertAlign w:val="superscript"/>
        </w:rPr>
        <w:t>st</w:t>
      </w:r>
      <w:r w:rsidRPr="00281AE1">
        <w:rPr>
          <w:rFonts w:cs="Arial"/>
          <w:szCs w:val="22"/>
        </w:rPr>
        <w:t xml:space="preserve"> March 201</w:t>
      </w:r>
      <w:r w:rsidR="00035DB0">
        <w:rPr>
          <w:rFonts w:cs="Arial"/>
          <w:szCs w:val="22"/>
        </w:rPr>
        <w:t>8</w:t>
      </w:r>
      <w:r w:rsidRPr="00281AE1">
        <w:rPr>
          <w:rFonts w:cs="Arial"/>
          <w:szCs w:val="22"/>
        </w:rPr>
        <w:t>, of which this Council’s share was £0.</w:t>
      </w:r>
      <w:r w:rsidR="00035DB0">
        <w:rPr>
          <w:rFonts w:cs="Arial"/>
          <w:szCs w:val="22"/>
        </w:rPr>
        <w:t>150</w:t>
      </w:r>
      <w:r w:rsidRPr="00281AE1">
        <w:rPr>
          <w:rFonts w:cs="Arial"/>
          <w:szCs w:val="22"/>
        </w:rPr>
        <w:t>m. This was credited to the CI&amp;ES, but was then transferred to the Collection Fund Adjustment Account in accordance with statutory requirements.</w:t>
      </w:r>
    </w:p>
    <w:p w:rsidR="00201C5D" w:rsidRPr="00281AE1" w:rsidRDefault="00201C5D" w:rsidP="00281AE1">
      <w:pPr>
        <w:numPr>
          <w:ilvl w:val="0"/>
          <w:numId w:val="32"/>
        </w:numPr>
        <w:spacing w:after="120"/>
        <w:ind w:hanging="436"/>
        <w:jc w:val="both"/>
        <w:rPr>
          <w:rFonts w:cs="Arial"/>
          <w:szCs w:val="22"/>
        </w:rPr>
      </w:pPr>
      <w:r w:rsidRPr="00281AE1">
        <w:rPr>
          <w:rFonts w:cs="Arial"/>
          <w:szCs w:val="22"/>
        </w:rPr>
        <w:t>The Business Rates element of the Collection Fund accumulated surplus is £0.</w:t>
      </w:r>
      <w:r w:rsidR="00035DB0">
        <w:rPr>
          <w:rFonts w:cs="Arial"/>
          <w:szCs w:val="22"/>
        </w:rPr>
        <w:t>471</w:t>
      </w:r>
      <w:r w:rsidRPr="00281AE1">
        <w:rPr>
          <w:rFonts w:cs="Arial"/>
          <w:szCs w:val="22"/>
        </w:rPr>
        <w:t>m at the 31</w:t>
      </w:r>
      <w:r w:rsidRPr="00281AE1">
        <w:rPr>
          <w:rFonts w:cs="Arial"/>
          <w:szCs w:val="22"/>
          <w:vertAlign w:val="superscript"/>
        </w:rPr>
        <w:t>st</w:t>
      </w:r>
      <w:r w:rsidR="00035DB0">
        <w:rPr>
          <w:rFonts w:cs="Arial"/>
          <w:szCs w:val="22"/>
        </w:rPr>
        <w:t xml:space="preserve"> March 2018</w:t>
      </w:r>
      <w:r w:rsidRPr="00281AE1">
        <w:rPr>
          <w:rFonts w:cs="Arial"/>
          <w:szCs w:val="22"/>
        </w:rPr>
        <w:t>, of which this Council’s share was £0.</w:t>
      </w:r>
      <w:r w:rsidR="00035DB0">
        <w:rPr>
          <w:rFonts w:cs="Arial"/>
          <w:szCs w:val="22"/>
        </w:rPr>
        <w:t>188</w:t>
      </w:r>
      <w:r w:rsidRPr="00281AE1">
        <w:rPr>
          <w:rFonts w:cs="Arial"/>
          <w:szCs w:val="22"/>
        </w:rPr>
        <w:t>m. This 40% share of the surplus was credited to the CI&amp;ES, but was then transferred to the Collection Fund Adjustment Account in accordance with statutory requirements.</w:t>
      </w:r>
    </w:p>
    <w:p w:rsidR="00201C5D" w:rsidRPr="002E4BA4" w:rsidRDefault="00201C5D" w:rsidP="00D21015">
      <w:pPr>
        <w:jc w:val="both"/>
        <w:rPr>
          <w:szCs w:val="22"/>
        </w:rPr>
      </w:pPr>
    </w:p>
    <w:p w:rsidR="00201C5D" w:rsidRPr="00D07335" w:rsidRDefault="00201C5D" w:rsidP="00201C5D">
      <w:pPr>
        <w:keepNext/>
        <w:jc w:val="both"/>
        <w:outlineLvl w:val="0"/>
        <w:rPr>
          <w:rFonts w:cs="Arial"/>
          <w:szCs w:val="22"/>
        </w:rPr>
      </w:pPr>
    </w:p>
    <w:p w:rsidR="00FA6E1F" w:rsidRDefault="00FA6E1F" w:rsidP="00FA6E1F">
      <w:pPr>
        <w:numPr>
          <w:ilvl w:val="0"/>
          <w:numId w:val="8"/>
        </w:numPr>
        <w:jc w:val="both"/>
        <w:rPr>
          <w:b/>
          <w:szCs w:val="22"/>
        </w:rPr>
      </w:pPr>
      <w:r>
        <w:rPr>
          <w:b/>
          <w:szCs w:val="22"/>
        </w:rPr>
        <w:t>CONSULTATION CARRIED OUT AND OUTCOME OF CONSULTATION</w:t>
      </w:r>
    </w:p>
    <w:p w:rsidR="003E1639" w:rsidRDefault="003E1639" w:rsidP="003E1639">
      <w:pPr>
        <w:ind w:left="360"/>
        <w:jc w:val="both"/>
        <w:rPr>
          <w:b/>
          <w:szCs w:val="22"/>
        </w:rPr>
      </w:pPr>
    </w:p>
    <w:p w:rsidR="003E1639" w:rsidRPr="00201C5D" w:rsidRDefault="003E1639" w:rsidP="00201C5D">
      <w:pPr>
        <w:keepNext/>
        <w:numPr>
          <w:ilvl w:val="1"/>
          <w:numId w:val="8"/>
        </w:numPr>
        <w:ind w:left="851" w:hanging="567"/>
        <w:jc w:val="both"/>
        <w:outlineLvl w:val="0"/>
        <w:rPr>
          <w:rFonts w:cs="Arial"/>
          <w:szCs w:val="22"/>
        </w:rPr>
      </w:pPr>
      <w:r w:rsidRPr="00201C5D">
        <w:rPr>
          <w:rFonts w:cs="Arial"/>
          <w:szCs w:val="22"/>
        </w:rPr>
        <w:t xml:space="preserve">No consultation was undertaken in preparing this report. The report purely relates to the statutory </w:t>
      </w:r>
      <w:r w:rsidR="00A805B5">
        <w:rPr>
          <w:rFonts w:cs="Arial"/>
          <w:szCs w:val="22"/>
        </w:rPr>
        <w:t>reporting</w:t>
      </w:r>
      <w:r w:rsidRPr="00201C5D">
        <w:rPr>
          <w:rFonts w:cs="Arial"/>
          <w:szCs w:val="22"/>
        </w:rPr>
        <w:t xml:space="preserve"> requirements for t</w:t>
      </w:r>
      <w:r w:rsidR="00A805B5">
        <w:rPr>
          <w:rFonts w:cs="Arial"/>
          <w:szCs w:val="22"/>
        </w:rPr>
        <w:t>he Statement of Accounts</w:t>
      </w:r>
      <w:r w:rsidR="007B7FCF" w:rsidRPr="00201C5D">
        <w:rPr>
          <w:rFonts w:cs="Arial"/>
          <w:szCs w:val="22"/>
        </w:rPr>
        <w:t>. Training on the Statement of Accounts will be given to Member’s at the annual Statement of Accounts Learning Hour.</w:t>
      </w:r>
    </w:p>
    <w:p w:rsidR="003E1639" w:rsidRDefault="003E1639" w:rsidP="001467CC">
      <w:pPr>
        <w:jc w:val="both"/>
        <w:rPr>
          <w:b/>
          <w:szCs w:val="22"/>
        </w:rPr>
      </w:pPr>
    </w:p>
    <w:p w:rsidR="007B7FCF" w:rsidRDefault="007B7FCF" w:rsidP="001467CC">
      <w:pPr>
        <w:jc w:val="both"/>
        <w:rPr>
          <w:b/>
          <w:szCs w:val="22"/>
        </w:rPr>
      </w:pPr>
    </w:p>
    <w:p w:rsidR="00FA6E1F" w:rsidRDefault="00FA6E1F" w:rsidP="00FA6E1F">
      <w:pPr>
        <w:numPr>
          <w:ilvl w:val="0"/>
          <w:numId w:val="8"/>
        </w:numPr>
        <w:jc w:val="both"/>
        <w:rPr>
          <w:b/>
          <w:szCs w:val="22"/>
        </w:rPr>
      </w:pPr>
      <w:r>
        <w:rPr>
          <w:b/>
          <w:szCs w:val="22"/>
        </w:rPr>
        <w:t>FINANCIAL IMPLICATIONS</w:t>
      </w:r>
    </w:p>
    <w:p w:rsidR="003E1639" w:rsidRDefault="003E1639" w:rsidP="003E1639">
      <w:pPr>
        <w:jc w:val="both"/>
        <w:rPr>
          <w:b/>
          <w:szCs w:val="22"/>
        </w:rPr>
      </w:pPr>
    </w:p>
    <w:p w:rsidR="003E1639" w:rsidRPr="00201C5D" w:rsidRDefault="000B7F57" w:rsidP="00201C5D">
      <w:pPr>
        <w:keepNext/>
        <w:numPr>
          <w:ilvl w:val="1"/>
          <w:numId w:val="8"/>
        </w:numPr>
        <w:ind w:left="851" w:hanging="567"/>
        <w:jc w:val="both"/>
        <w:outlineLvl w:val="0"/>
        <w:rPr>
          <w:rFonts w:cs="Arial"/>
          <w:szCs w:val="22"/>
        </w:rPr>
      </w:pPr>
      <w:r w:rsidRPr="00201C5D">
        <w:rPr>
          <w:rFonts w:cs="Arial"/>
          <w:szCs w:val="22"/>
        </w:rPr>
        <w:t>T</w:t>
      </w:r>
      <w:r w:rsidR="003E1639" w:rsidRPr="00201C5D">
        <w:rPr>
          <w:rFonts w:cs="Arial"/>
          <w:szCs w:val="22"/>
        </w:rPr>
        <w:t>here are no direct financial implications arising as a result of this report. The report purely relates to the statutory accounting requirements for the Statement of Accounts.</w:t>
      </w:r>
      <w:r w:rsidR="00B774AD" w:rsidRPr="00201C5D">
        <w:rPr>
          <w:rFonts w:cs="Arial"/>
          <w:szCs w:val="22"/>
        </w:rPr>
        <w:t xml:space="preserve"> </w:t>
      </w:r>
      <w:r w:rsidR="00A805B5">
        <w:rPr>
          <w:rFonts w:cs="Arial"/>
          <w:szCs w:val="22"/>
        </w:rPr>
        <w:t xml:space="preserve">All financial implications </w:t>
      </w:r>
      <w:r w:rsidR="00EB5C5D">
        <w:rPr>
          <w:rFonts w:cs="Arial"/>
          <w:szCs w:val="22"/>
        </w:rPr>
        <w:t>relating to</w:t>
      </w:r>
      <w:r w:rsidR="00A805B5">
        <w:rPr>
          <w:rFonts w:cs="Arial"/>
          <w:szCs w:val="22"/>
        </w:rPr>
        <w:t xml:space="preserve"> the final </w:t>
      </w:r>
      <w:r w:rsidR="00EB5C5D">
        <w:rPr>
          <w:rFonts w:cs="Arial"/>
          <w:szCs w:val="22"/>
        </w:rPr>
        <w:t xml:space="preserve">budget </w:t>
      </w:r>
      <w:r w:rsidR="00A805B5">
        <w:rPr>
          <w:rFonts w:cs="Arial"/>
          <w:szCs w:val="22"/>
        </w:rPr>
        <w:t>outturn position are considered in the Budget Outturn Report 2017/18 elsewhere on this agenda.</w:t>
      </w:r>
    </w:p>
    <w:p w:rsidR="00FA6E1F" w:rsidRDefault="00FA6E1F" w:rsidP="00FA6E1F">
      <w:pPr>
        <w:pStyle w:val="ListParagraph"/>
        <w:rPr>
          <w:b/>
        </w:rPr>
      </w:pPr>
    </w:p>
    <w:p w:rsidR="00FA6E1F" w:rsidRDefault="00FA6E1F" w:rsidP="00FA6E1F">
      <w:pPr>
        <w:numPr>
          <w:ilvl w:val="0"/>
          <w:numId w:val="8"/>
        </w:numPr>
        <w:jc w:val="both"/>
        <w:rPr>
          <w:b/>
          <w:szCs w:val="22"/>
        </w:rPr>
      </w:pPr>
      <w:r>
        <w:rPr>
          <w:b/>
          <w:szCs w:val="22"/>
        </w:rPr>
        <w:t>LEGAL IMPLICATIONS</w:t>
      </w:r>
    </w:p>
    <w:p w:rsidR="00FA6E1F" w:rsidRPr="00201C5D" w:rsidRDefault="00FA6E1F" w:rsidP="00201C5D">
      <w:pPr>
        <w:keepNext/>
        <w:ind w:left="851"/>
        <w:jc w:val="both"/>
        <w:outlineLvl w:val="0"/>
        <w:rPr>
          <w:rFonts w:cs="Arial"/>
          <w:szCs w:val="22"/>
        </w:rPr>
      </w:pPr>
    </w:p>
    <w:p w:rsidR="00FA6E1F" w:rsidRPr="00201C5D" w:rsidRDefault="00FA6E1F" w:rsidP="00201C5D">
      <w:pPr>
        <w:keepNext/>
        <w:numPr>
          <w:ilvl w:val="1"/>
          <w:numId w:val="8"/>
        </w:numPr>
        <w:ind w:left="851" w:hanging="567"/>
        <w:jc w:val="both"/>
        <w:outlineLvl w:val="0"/>
        <w:rPr>
          <w:rFonts w:cs="Arial"/>
          <w:szCs w:val="22"/>
        </w:rPr>
      </w:pPr>
      <w:r w:rsidRPr="00201C5D">
        <w:rPr>
          <w:rFonts w:cs="Arial"/>
          <w:szCs w:val="22"/>
        </w:rPr>
        <w:t xml:space="preserve">The legal implications are in respect of </w:t>
      </w:r>
      <w:r w:rsidR="001114AB" w:rsidRPr="00201C5D">
        <w:rPr>
          <w:rFonts w:cs="Arial"/>
          <w:szCs w:val="22"/>
        </w:rPr>
        <w:t xml:space="preserve">the </w:t>
      </w:r>
      <w:r w:rsidRPr="00201C5D">
        <w:rPr>
          <w:rFonts w:cs="Arial"/>
          <w:szCs w:val="22"/>
        </w:rPr>
        <w:t>Accounts and Audit Regulations 2015 and</w:t>
      </w:r>
      <w:r w:rsidR="001114AB" w:rsidRPr="00201C5D">
        <w:rPr>
          <w:rFonts w:cs="Arial"/>
          <w:szCs w:val="22"/>
        </w:rPr>
        <w:t xml:space="preserve"> the</w:t>
      </w:r>
      <w:r w:rsidRPr="00201C5D">
        <w:rPr>
          <w:rFonts w:cs="Arial"/>
          <w:szCs w:val="22"/>
        </w:rPr>
        <w:t xml:space="preserve"> </w:t>
      </w:r>
      <w:r w:rsidR="003E1639" w:rsidRPr="00201C5D">
        <w:rPr>
          <w:rFonts w:cs="Arial"/>
          <w:szCs w:val="22"/>
        </w:rPr>
        <w:t xml:space="preserve">requirement that </w:t>
      </w:r>
      <w:r w:rsidRPr="00201C5D">
        <w:rPr>
          <w:rFonts w:cs="Arial"/>
          <w:szCs w:val="22"/>
        </w:rPr>
        <w:t xml:space="preserve">the accounts must be compliant with the relevant </w:t>
      </w:r>
      <w:r w:rsidR="003E1639" w:rsidRPr="00201C5D">
        <w:rPr>
          <w:rFonts w:cs="Arial"/>
          <w:szCs w:val="22"/>
        </w:rPr>
        <w:t xml:space="preserve">accounting </w:t>
      </w:r>
      <w:r w:rsidRPr="00201C5D">
        <w:rPr>
          <w:rFonts w:cs="Arial"/>
          <w:szCs w:val="22"/>
        </w:rPr>
        <w:t>standards</w:t>
      </w:r>
      <w:r w:rsidR="003E1639" w:rsidRPr="00201C5D">
        <w:rPr>
          <w:rFonts w:cs="Arial"/>
          <w:szCs w:val="22"/>
        </w:rPr>
        <w:t xml:space="preserve"> and codes of practice</w:t>
      </w:r>
      <w:r w:rsidRPr="00201C5D">
        <w:rPr>
          <w:rFonts w:cs="Arial"/>
          <w:szCs w:val="22"/>
        </w:rPr>
        <w:t xml:space="preserve"> and must be prepared on a true and fair view basis. Failure to comply could result in a failure to meet the statutory duty.</w:t>
      </w:r>
    </w:p>
    <w:p w:rsidR="00FA6E1F" w:rsidRDefault="00FA6E1F" w:rsidP="00FA6E1F">
      <w:pPr>
        <w:pStyle w:val="ListParagraph"/>
        <w:rPr>
          <w:b/>
        </w:rPr>
      </w:pPr>
    </w:p>
    <w:p w:rsidR="00FA6E1F" w:rsidRPr="00FA6E1F" w:rsidRDefault="00FA6E1F" w:rsidP="00081531">
      <w:pPr>
        <w:numPr>
          <w:ilvl w:val="0"/>
          <w:numId w:val="8"/>
        </w:numPr>
        <w:jc w:val="both"/>
        <w:rPr>
          <w:b/>
          <w:szCs w:val="22"/>
        </w:rPr>
      </w:pPr>
      <w:r w:rsidRPr="00FA6E1F">
        <w:rPr>
          <w:b/>
          <w:szCs w:val="22"/>
        </w:rPr>
        <w:t>COMMENTS OF THE STATUTORY FINANCE OFFICER</w:t>
      </w:r>
    </w:p>
    <w:p w:rsidR="000501DD" w:rsidRPr="00FA6E1F" w:rsidRDefault="000501DD" w:rsidP="00FA6E1F">
      <w:pPr>
        <w:ind w:left="720"/>
        <w:jc w:val="both"/>
        <w:rPr>
          <w:szCs w:val="22"/>
        </w:rPr>
      </w:pPr>
    </w:p>
    <w:p w:rsidR="00F010C1" w:rsidRPr="00865241" w:rsidRDefault="00865241" w:rsidP="00865241">
      <w:pPr>
        <w:keepNext/>
        <w:numPr>
          <w:ilvl w:val="1"/>
          <w:numId w:val="8"/>
        </w:numPr>
        <w:ind w:left="851" w:hanging="567"/>
        <w:jc w:val="both"/>
        <w:outlineLvl w:val="0"/>
        <w:rPr>
          <w:rFonts w:cs="Arial"/>
          <w:szCs w:val="22"/>
        </w:rPr>
      </w:pPr>
      <w:r>
        <w:rPr>
          <w:rFonts w:cs="Arial"/>
          <w:szCs w:val="22"/>
        </w:rPr>
        <w:t>There are no financial implications arising directly as a result of this report. All implications relating to the financial position and pe</w:t>
      </w:r>
      <w:r w:rsidRPr="00865241">
        <w:rPr>
          <w:rFonts w:cs="Arial"/>
          <w:szCs w:val="22"/>
        </w:rPr>
        <w:t xml:space="preserve">rformance of the authority are </w:t>
      </w:r>
      <w:r>
        <w:rPr>
          <w:rFonts w:cs="Arial"/>
          <w:szCs w:val="22"/>
        </w:rPr>
        <w:t xml:space="preserve">dealt with in the accompanying Budget Outturn Report 2017/18 </w:t>
      </w:r>
      <w:r w:rsidR="00210092">
        <w:rPr>
          <w:rFonts w:cs="Arial"/>
          <w:szCs w:val="22"/>
        </w:rPr>
        <w:t xml:space="preserve">which compares actual out turn to the budgeted </w:t>
      </w:r>
      <w:r w:rsidR="00DD492D">
        <w:rPr>
          <w:rFonts w:cs="Arial"/>
          <w:szCs w:val="22"/>
        </w:rPr>
        <w:t>position</w:t>
      </w:r>
      <w:r w:rsidR="00210092">
        <w:rPr>
          <w:rFonts w:cs="Arial"/>
          <w:szCs w:val="22"/>
        </w:rPr>
        <w:t xml:space="preserve"> rather than to the previous financial year.  </w:t>
      </w:r>
      <w:r w:rsidR="00DD492D">
        <w:rPr>
          <w:rFonts w:cs="Arial"/>
          <w:szCs w:val="22"/>
        </w:rPr>
        <w:t xml:space="preserve">This report is </w:t>
      </w:r>
      <w:r>
        <w:rPr>
          <w:rFonts w:cs="Arial"/>
          <w:szCs w:val="22"/>
        </w:rPr>
        <w:t xml:space="preserve">also on the agenda for this meeting. The report is for information only as there is no requirement for committee to approve the Statement of Accounts at this draft stage, the Accounts and Audit Regulations </w:t>
      </w:r>
      <w:r w:rsidR="00880C30">
        <w:rPr>
          <w:rFonts w:cs="Arial"/>
          <w:szCs w:val="22"/>
        </w:rPr>
        <w:t xml:space="preserve">2015 </w:t>
      </w:r>
      <w:r>
        <w:rPr>
          <w:rFonts w:cs="Arial"/>
          <w:szCs w:val="22"/>
        </w:rPr>
        <w:t>require the unaudited Statement of Accounts to be authorised for issue by the Chief Financial Officer by the 31</w:t>
      </w:r>
      <w:r w:rsidRPr="00865241">
        <w:rPr>
          <w:rFonts w:cs="Arial"/>
          <w:szCs w:val="22"/>
          <w:vertAlign w:val="superscript"/>
        </w:rPr>
        <w:t>st</w:t>
      </w:r>
      <w:r>
        <w:rPr>
          <w:rFonts w:cs="Arial"/>
          <w:szCs w:val="22"/>
        </w:rPr>
        <w:t xml:space="preserve"> May. </w:t>
      </w:r>
      <w:r w:rsidR="00880C30">
        <w:rPr>
          <w:rFonts w:cs="Arial"/>
          <w:szCs w:val="22"/>
        </w:rPr>
        <w:t>The report aims to demonstrate the link between the outturn position and the published financial statements and also our progress in achieving the earlier statutory deadline for publication. An analysis of year on year variances will be provided at the Member Learning hour on 19</w:t>
      </w:r>
      <w:r w:rsidR="00880C30" w:rsidRPr="00880C30">
        <w:rPr>
          <w:rFonts w:cs="Arial"/>
          <w:szCs w:val="22"/>
          <w:vertAlign w:val="superscript"/>
        </w:rPr>
        <w:t>th</w:t>
      </w:r>
      <w:r w:rsidR="00880C30">
        <w:rPr>
          <w:rFonts w:cs="Arial"/>
          <w:szCs w:val="22"/>
        </w:rPr>
        <w:t xml:space="preserve"> June.</w:t>
      </w:r>
    </w:p>
    <w:p w:rsidR="00136D96" w:rsidRDefault="00136D96" w:rsidP="004E17A2">
      <w:pPr>
        <w:ind w:left="360"/>
        <w:jc w:val="both"/>
        <w:rPr>
          <w:szCs w:val="22"/>
        </w:rPr>
      </w:pPr>
    </w:p>
    <w:p w:rsidR="007B7FCF" w:rsidRPr="0083249B" w:rsidRDefault="007B7FCF" w:rsidP="004E17A2">
      <w:pPr>
        <w:ind w:left="360"/>
        <w:jc w:val="both"/>
        <w:rPr>
          <w:szCs w:val="22"/>
        </w:rPr>
      </w:pPr>
    </w:p>
    <w:p w:rsidR="00FA6E1F" w:rsidRDefault="00FA6E1F" w:rsidP="00FA6E1F">
      <w:pPr>
        <w:numPr>
          <w:ilvl w:val="0"/>
          <w:numId w:val="8"/>
        </w:numPr>
        <w:jc w:val="both"/>
        <w:rPr>
          <w:b/>
          <w:szCs w:val="22"/>
        </w:rPr>
      </w:pPr>
      <w:r w:rsidRPr="00FA6E1F">
        <w:rPr>
          <w:b/>
          <w:szCs w:val="22"/>
        </w:rPr>
        <w:t>COMMENTS OF THE MONITORING OFFICER</w:t>
      </w:r>
    </w:p>
    <w:p w:rsidR="00851B9A" w:rsidRPr="0083249B" w:rsidRDefault="00851B9A" w:rsidP="00FA6E1F">
      <w:pPr>
        <w:jc w:val="both"/>
        <w:rPr>
          <w:b/>
          <w:szCs w:val="22"/>
        </w:rPr>
      </w:pPr>
    </w:p>
    <w:p w:rsidR="00E75F02" w:rsidRPr="00201C5D" w:rsidRDefault="00865241" w:rsidP="00865241">
      <w:pPr>
        <w:keepNext/>
        <w:numPr>
          <w:ilvl w:val="1"/>
          <w:numId w:val="8"/>
        </w:numPr>
        <w:ind w:left="851" w:hanging="567"/>
        <w:jc w:val="both"/>
        <w:outlineLvl w:val="0"/>
        <w:rPr>
          <w:rFonts w:cs="Arial"/>
          <w:szCs w:val="22"/>
        </w:rPr>
      </w:pPr>
      <w:r>
        <w:rPr>
          <w:rFonts w:cs="Arial"/>
          <w:szCs w:val="22"/>
        </w:rPr>
        <w:t>P</w:t>
      </w:r>
      <w:r w:rsidR="00A805B5">
        <w:rPr>
          <w:rFonts w:cs="Arial"/>
          <w:szCs w:val="22"/>
        </w:rPr>
        <w:t>lease</w:t>
      </w:r>
      <w:r>
        <w:rPr>
          <w:rFonts w:cs="Arial"/>
          <w:szCs w:val="22"/>
        </w:rPr>
        <w:t xml:space="preserve"> </w:t>
      </w:r>
      <w:r w:rsidRPr="00865241">
        <w:rPr>
          <w:rFonts w:cs="Arial"/>
          <w:szCs w:val="22"/>
        </w:rPr>
        <w:t>see legal implications section. Essentially this report is designed to comply with the requirements of the Accounts and Audit Regulations 2015. Members are aware of the revised timetable this year for the sign off of the accounts including the Annual Governance Statement</w:t>
      </w:r>
      <w:r w:rsidR="00A805B5">
        <w:rPr>
          <w:rFonts w:cs="Arial"/>
          <w:szCs w:val="22"/>
        </w:rPr>
        <w:t>.</w:t>
      </w:r>
    </w:p>
    <w:p w:rsidR="00315D86" w:rsidRDefault="00315D86" w:rsidP="00315D86">
      <w:pPr>
        <w:jc w:val="both"/>
        <w:rPr>
          <w:szCs w:val="22"/>
        </w:rPr>
      </w:pPr>
    </w:p>
    <w:p w:rsidR="007B7FCF" w:rsidRPr="0083249B" w:rsidRDefault="007B7FCF" w:rsidP="007B7FCF">
      <w:pPr>
        <w:ind w:left="360"/>
        <w:jc w:val="both"/>
        <w:rPr>
          <w:szCs w:val="22"/>
        </w:rPr>
      </w:pPr>
    </w:p>
    <w:p w:rsidR="007B7FCF" w:rsidRDefault="007B7FCF" w:rsidP="007B7FCF">
      <w:pPr>
        <w:numPr>
          <w:ilvl w:val="0"/>
          <w:numId w:val="8"/>
        </w:numPr>
        <w:jc w:val="both"/>
        <w:rPr>
          <w:b/>
          <w:szCs w:val="22"/>
        </w:rPr>
      </w:pPr>
      <w:r>
        <w:rPr>
          <w:b/>
          <w:szCs w:val="22"/>
        </w:rPr>
        <w:t>OTHER IMPLICATIONS:</w:t>
      </w:r>
    </w:p>
    <w:p w:rsidR="007B7FCF" w:rsidRDefault="007B7FCF" w:rsidP="00136D96">
      <w:pPr>
        <w:ind w:left="360"/>
        <w:jc w:val="both"/>
        <w:rPr>
          <w:b/>
          <w:szCs w:val="22"/>
        </w:rPr>
      </w:pPr>
    </w:p>
    <w:p w:rsidR="007B7FCF" w:rsidRPr="009C1143" w:rsidRDefault="007B7FCF" w:rsidP="00136D96">
      <w:pPr>
        <w:ind w:left="360"/>
        <w:jc w:val="both"/>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851B9A" w:rsidTr="00851B9A">
        <w:trPr>
          <w:trHeight w:val="3660"/>
        </w:trPr>
        <w:tc>
          <w:tcPr>
            <w:tcW w:w="3544" w:type="dxa"/>
            <w:shd w:val="clear" w:color="auto" w:fill="auto"/>
          </w:tcPr>
          <w:p w:rsidR="007B7FCF" w:rsidRPr="009C1143" w:rsidRDefault="007B7FCF" w:rsidP="001467CC">
            <w:pPr>
              <w:jc w:val="both"/>
              <w:rPr>
                <w:b/>
                <w:szCs w:val="22"/>
              </w:rPr>
            </w:pPr>
          </w:p>
          <w:p w:rsidR="007B7FCF" w:rsidRPr="00792A2B" w:rsidRDefault="007B7FCF" w:rsidP="007B7FCF">
            <w:pPr>
              <w:numPr>
                <w:ilvl w:val="0"/>
                <w:numId w:val="11"/>
              </w:numPr>
              <w:ind w:left="360"/>
              <w:rPr>
                <w:b/>
                <w:szCs w:val="22"/>
              </w:rPr>
            </w:pPr>
            <w:r w:rsidRPr="00792A2B">
              <w:rPr>
                <w:b/>
                <w:szCs w:val="22"/>
              </w:rPr>
              <w:t xml:space="preserve">HR &amp; Organisational Development </w:t>
            </w:r>
          </w:p>
          <w:p w:rsidR="007B7FCF" w:rsidRPr="00792A2B" w:rsidRDefault="007B7FCF" w:rsidP="007B7FCF">
            <w:pPr>
              <w:ind w:left="360"/>
              <w:rPr>
                <w:b/>
                <w:szCs w:val="22"/>
              </w:rPr>
            </w:pPr>
          </w:p>
          <w:p w:rsidR="007B7FCF" w:rsidRPr="00792A2B" w:rsidRDefault="007B7FCF" w:rsidP="007B7FCF">
            <w:pPr>
              <w:numPr>
                <w:ilvl w:val="0"/>
                <w:numId w:val="11"/>
              </w:numPr>
              <w:ind w:left="360"/>
              <w:rPr>
                <w:b/>
                <w:szCs w:val="22"/>
              </w:rPr>
            </w:pPr>
            <w:r w:rsidRPr="00792A2B">
              <w:rPr>
                <w:b/>
                <w:szCs w:val="22"/>
              </w:rPr>
              <w:t>ICT / Technology</w:t>
            </w:r>
          </w:p>
          <w:p w:rsidR="007B7FCF" w:rsidRPr="00792A2B" w:rsidRDefault="007B7FCF" w:rsidP="007B7FCF">
            <w:pPr>
              <w:ind w:left="360"/>
              <w:rPr>
                <w:b/>
                <w:szCs w:val="22"/>
              </w:rPr>
            </w:pPr>
          </w:p>
          <w:p w:rsidR="007B7FCF" w:rsidRPr="00792A2B" w:rsidRDefault="007B7FCF" w:rsidP="007B7FCF">
            <w:pPr>
              <w:rPr>
                <w:b/>
                <w:szCs w:val="22"/>
              </w:rPr>
            </w:pPr>
          </w:p>
          <w:p w:rsidR="007B7FCF" w:rsidRPr="00792A2B" w:rsidRDefault="007B7FCF" w:rsidP="007B7FCF">
            <w:pPr>
              <w:numPr>
                <w:ilvl w:val="0"/>
                <w:numId w:val="11"/>
              </w:numPr>
              <w:ind w:left="360"/>
              <w:rPr>
                <w:b/>
                <w:szCs w:val="22"/>
              </w:rPr>
            </w:pPr>
            <w:r w:rsidRPr="00792A2B">
              <w:rPr>
                <w:b/>
                <w:szCs w:val="22"/>
              </w:rPr>
              <w:t>Property &amp; Asset Management</w:t>
            </w:r>
          </w:p>
          <w:p w:rsidR="007B7FCF" w:rsidRPr="00792A2B" w:rsidRDefault="007B7FCF" w:rsidP="007B7FCF">
            <w:pPr>
              <w:ind w:left="360"/>
              <w:rPr>
                <w:b/>
                <w:szCs w:val="22"/>
              </w:rPr>
            </w:pPr>
          </w:p>
          <w:p w:rsidR="007B7FCF" w:rsidRPr="00792A2B" w:rsidRDefault="007B7FCF" w:rsidP="007B7FCF">
            <w:pPr>
              <w:numPr>
                <w:ilvl w:val="0"/>
                <w:numId w:val="11"/>
              </w:numPr>
              <w:ind w:left="360"/>
              <w:rPr>
                <w:b/>
                <w:szCs w:val="22"/>
              </w:rPr>
            </w:pPr>
            <w:r w:rsidRPr="00792A2B">
              <w:rPr>
                <w:b/>
                <w:szCs w:val="22"/>
              </w:rPr>
              <w:t xml:space="preserve">Risk </w:t>
            </w:r>
          </w:p>
          <w:p w:rsidR="007B7FCF" w:rsidRPr="00792A2B" w:rsidRDefault="007B7FCF" w:rsidP="007B7FCF">
            <w:pPr>
              <w:rPr>
                <w:b/>
                <w:szCs w:val="22"/>
              </w:rPr>
            </w:pPr>
          </w:p>
          <w:p w:rsidR="002F5C5E" w:rsidRPr="007B7FCF" w:rsidRDefault="007B7FCF" w:rsidP="007B7FCF">
            <w:pPr>
              <w:numPr>
                <w:ilvl w:val="0"/>
                <w:numId w:val="11"/>
              </w:numPr>
              <w:ind w:left="360"/>
              <w:rPr>
                <w:b/>
                <w:szCs w:val="22"/>
              </w:rPr>
            </w:pPr>
            <w:r w:rsidRPr="00792A2B">
              <w:rPr>
                <w:b/>
                <w:szCs w:val="22"/>
              </w:rPr>
              <w:t xml:space="preserve">Equality &amp; Diversity </w:t>
            </w:r>
          </w:p>
          <w:p w:rsidR="002F5C5E" w:rsidRPr="009C1143" w:rsidRDefault="002F5C5E" w:rsidP="001467CC">
            <w:pPr>
              <w:jc w:val="both"/>
              <w:rPr>
                <w:szCs w:val="22"/>
              </w:rPr>
            </w:pPr>
          </w:p>
        </w:tc>
        <w:tc>
          <w:tcPr>
            <w:tcW w:w="6379" w:type="dxa"/>
            <w:shd w:val="clear" w:color="auto" w:fill="auto"/>
            <w:vAlign w:val="center"/>
          </w:tcPr>
          <w:p w:rsidR="00851B9A" w:rsidRDefault="002B7F15" w:rsidP="001467CC">
            <w:pPr>
              <w:jc w:val="both"/>
              <w:rPr>
                <w:szCs w:val="22"/>
              </w:rPr>
            </w:pPr>
            <w:r w:rsidRPr="002B7F15">
              <w:rPr>
                <w:szCs w:val="22"/>
              </w:rPr>
              <w:t xml:space="preserve">Risk implications apply in relation to the Accounts and Audit Regulations 2015 to prepare financial statements in accordance with the statutory timetable. The accounts must be compliant with the relevant standards and must be prepared on a true and fair view basis. Failure to </w:t>
            </w:r>
            <w:r w:rsidR="00AD7324" w:rsidRPr="002B7F15">
              <w:rPr>
                <w:szCs w:val="22"/>
              </w:rPr>
              <w:t>comply</w:t>
            </w:r>
            <w:r w:rsidRPr="002B7F15">
              <w:rPr>
                <w:szCs w:val="22"/>
              </w:rPr>
              <w:t xml:space="preserve"> could result in a failure to meet the statutory duty.</w:t>
            </w:r>
          </w:p>
          <w:p w:rsidR="002B7F15" w:rsidRPr="00851B9A" w:rsidRDefault="002B7F15" w:rsidP="001467CC">
            <w:pPr>
              <w:jc w:val="both"/>
              <w:rPr>
                <w:szCs w:val="22"/>
              </w:rPr>
            </w:pPr>
          </w:p>
          <w:p w:rsidR="00851B9A" w:rsidRPr="00851B9A" w:rsidRDefault="00851B9A" w:rsidP="001467CC">
            <w:pPr>
              <w:jc w:val="both"/>
              <w:rPr>
                <w:szCs w:val="22"/>
              </w:rPr>
            </w:pPr>
          </w:p>
        </w:tc>
      </w:tr>
    </w:tbl>
    <w:p w:rsidR="002F5C5E" w:rsidRPr="009C1143" w:rsidRDefault="002F5C5E" w:rsidP="001467CC">
      <w:pPr>
        <w:jc w:val="both"/>
        <w:rPr>
          <w:i/>
          <w:color w:val="2E74B5"/>
          <w:szCs w:val="22"/>
        </w:rPr>
      </w:pPr>
    </w:p>
    <w:p w:rsidR="002F5C5E" w:rsidRPr="009C1143" w:rsidRDefault="002F5C5E" w:rsidP="001467CC">
      <w:pPr>
        <w:jc w:val="both"/>
        <w:rPr>
          <w:szCs w:val="22"/>
        </w:rPr>
      </w:pPr>
      <w:r w:rsidRPr="009C1143">
        <w:rPr>
          <w:i/>
          <w:color w:val="2E74B5"/>
          <w:szCs w:val="22"/>
        </w:rPr>
        <w:t xml:space="preserve"> </w:t>
      </w:r>
      <w:r w:rsidRPr="009C1143">
        <w:rPr>
          <w:szCs w:val="22"/>
        </w:rPr>
        <w:tab/>
      </w:r>
    </w:p>
    <w:p w:rsidR="002F5C5E" w:rsidRDefault="002F5C5E" w:rsidP="007B7FCF">
      <w:pPr>
        <w:numPr>
          <w:ilvl w:val="0"/>
          <w:numId w:val="8"/>
        </w:numPr>
        <w:jc w:val="both"/>
        <w:rPr>
          <w:b/>
          <w:szCs w:val="22"/>
        </w:rPr>
      </w:pPr>
      <w:r w:rsidRPr="009C1143">
        <w:rPr>
          <w:b/>
          <w:szCs w:val="22"/>
        </w:rPr>
        <w:t xml:space="preserve">BACKGROUND DOCUMENTS </w:t>
      </w:r>
    </w:p>
    <w:p w:rsidR="008D5169" w:rsidRDefault="008D5169" w:rsidP="001467CC">
      <w:pPr>
        <w:jc w:val="both"/>
        <w:rPr>
          <w:b/>
          <w:szCs w:val="22"/>
        </w:rPr>
      </w:pPr>
    </w:p>
    <w:p w:rsidR="002B7F15" w:rsidRPr="002B7F15" w:rsidRDefault="002B7F15" w:rsidP="002B7F15">
      <w:pPr>
        <w:numPr>
          <w:ilvl w:val="0"/>
          <w:numId w:val="20"/>
        </w:numPr>
        <w:tabs>
          <w:tab w:val="num" w:pos="360"/>
        </w:tabs>
        <w:jc w:val="both"/>
        <w:rPr>
          <w:rFonts w:cs="Arial"/>
          <w:szCs w:val="22"/>
          <w:lang w:eastAsia="en-US"/>
        </w:rPr>
      </w:pPr>
      <w:r w:rsidRPr="002B7F15">
        <w:rPr>
          <w:rFonts w:cs="Arial"/>
          <w:szCs w:val="22"/>
          <w:lang w:eastAsia="en-US"/>
        </w:rPr>
        <w:t>Accounts and Audit (England) Regulations 2015</w:t>
      </w:r>
    </w:p>
    <w:p w:rsidR="002B7F15" w:rsidRDefault="00F010C1" w:rsidP="00A805B5">
      <w:pPr>
        <w:numPr>
          <w:ilvl w:val="0"/>
          <w:numId w:val="20"/>
        </w:numPr>
        <w:rPr>
          <w:rFonts w:cs="Arial"/>
          <w:szCs w:val="22"/>
          <w:lang w:eastAsia="en-US"/>
        </w:rPr>
      </w:pPr>
      <w:r>
        <w:rPr>
          <w:rFonts w:cs="Arial"/>
          <w:szCs w:val="22"/>
          <w:lang w:eastAsia="en-US"/>
        </w:rPr>
        <w:t>CIPFA</w:t>
      </w:r>
      <w:r w:rsidR="00C04193" w:rsidRPr="00C04193">
        <w:rPr>
          <w:rFonts w:cs="Arial"/>
          <w:szCs w:val="22"/>
          <w:lang w:eastAsia="en-US"/>
        </w:rPr>
        <w:t xml:space="preserve"> Code of Practice on Local Authority Accou</w:t>
      </w:r>
      <w:r w:rsidR="00C04193">
        <w:rPr>
          <w:rFonts w:cs="Arial"/>
          <w:szCs w:val="22"/>
          <w:lang w:eastAsia="en-US"/>
        </w:rPr>
        <w:t>nting in the United Kingdom 2017/18</w:t>
      </w:r>
    </w:p>
    <w:p w:rsidR="00865241" w:rsidRPr="00865241" w:rsidRDefault="00865241" w:rsidP="00865241">
      <w:pPr>
        <w:pStyle w:val="ListParagraph"/>
        <w:numPr>
          <w:ilvl w:val="0"/>
          <w:numId w:val="20"/>
        </w:numPr>
        <w:rPr>
          <w:rFonts w:ascii="Arial" w:hAnsi="Arial" w:cs="Arial"/>
        </w:rPr>
      </w:pPr>
      <w:r w:rsidRPr="001D3551">
        <w:rPr>
          <w:rFonts w:ascii="Arial" w:hAnsi="Arial" w:cs="Arial"/>
        </w:rPr>
        <w:t>Budget Outturn Report 201</w:t>
      </w:r>
      <w:r>
        <w:rPr>
          <w:rFonts w:ascii="Arial" w:hAnsi="Arial" w:cs="Arial"/>
        </w:rPr>
        <w:t>7/18</w:t>
      </w:r>
      <w:r w:rsidRPr="001D3551">
        <w:rPr>
          <w:rFonts w:ascii="Arial" w:hAnsi="Arial" w:cs="Arial"/>
        </w:rPr>
        <w:t xml:space="preserve"> (elsewhere on this agenda)</w:t>
      </w:r>
    </w:p>
    <w:p w:rsidR="007B7FCF" w:rsidRPr="002B7F15" w:rsidRDefault="007B7FCF" w:rsidP="002B7F15">
      <w:pPr>
        <w:keepNext/>
        <w:jc w:val="both"/>
        <w:outlineLvl w:val="0"/>
        <w:rPr>
          <w:b/>
        </w:rPr>
      </w:pPr>
    </w:p>
    <w:p w:rsidR="002B7F15" w:rsidRPr="007B7FCF" w:rsidRDefault="002B7F15" w:rsidP="007B7FCF">
      <w:pPr>
        <w:numPr>
          <w:ilvl w:val="0"/>
          <w:numId w:val="8"/>
        </w:numPr>
        <w:jc w:val="both"/>
        <w:rPr>
          <w:b/>
          <w:szCs w:val="22"/>
        </w:rPr>
      </w:pPr>
      <w:r w:rsidRPr="007B7FCF">
        <w:rPr>
          <w:b/>
          <w:szCs w:val="22"/>
        </w:rPr>
        <w:t>APPENDICES</w:t>
      </w:r>
    </w:p>
    <w:p w:rsidR="002B7F15" w:rsidRPr="002B7F15" w:rsidRDefault="002B7F15" w:rsidP="002B7F15">
      <w:pPr>
        <w:ind w:left="2160" w:hanging="2160"/>
        <w:jc w:val="both"/>
        <w:rPr>
          <w:rFonts w:cs="Arial"/>
          <w:szCs w:val="22"/>
        </w:rPr>
      </w:pPr>
    </w:p>
    <w:p w:rsidR="004555FD" w:rsidRDefault="00A805B5" w:rsidP="005935C0">
      <w:pPr>
        <w:tabs>
          <w:tab w:val="left" w:pos="2839"/>
        </w:tabs>
        <w:ind w:left="720"/>
        <w:rPr>
          <w:szCs w:val="22"/>
        </w:rPr>
      </w:pPr>
      <w:r>
        <w:rPr>
          <w:szCs w:val="22"/>
        </w:rPr>
        <w:t>None</w:t>
      </w:r>
    </w:p>
    <w:p w:rsidR="001C5E49" w:rsidRDefault="001C5E49" w:rsidP="001467CC">
      <w:pPr>
        <w:tabs>
          <w:tab w:val="left" w:pos="2839"/>
        </w:tabs>
        <w:ind w:left="426" w:hanging="426"/>
        <w:jc w:val="both"/>
        <w:rPr>
          <w:rFonts w:cs="Arial"/>
          <w:color w:val="0070C0"/>
        </w:rPr>
      </w:pPr>
    </w:p>
    <w:p w:rsidR="007B7FCF" w:rsidRDefault="007B7FCF" w:rsidP="001467CC">
      <w:pPr>
        <w:tabs>
          <w:tab w:val="left" w:pos="2839"/>
        </w:tabs>
        <w:ind w:left="426" w:hanging="426"/>
        <w:jc w:val="both"/>
        <w:rPr>
          <w:rFonts w:cs="Arial"/>
          <w:color w:val="0070C0"/>
        </w:rPr>
      </w:pPr>
    </w:p>
    <w:p w:rsidR="001C5E49" w:rsidRPr="00F24DBD" w:rsidRDefault="00315D86" w:rsidP="001467CC">
      <w:pPr>
        <w:tabs>
          <w:tab w:val="left" w:pos="2839"/>
        </w:tabs>
        <w:ind w:left="426" w:hanging="426"/>
        <w:jc w:val="both"/>
        <w:rPr>
          <w:rFonts w:cs="Arial"/>
        </w:rPr>
      </w:pPr>
      <w:r>
        <w:rPr>
          <w:rFonts w:cs="Arial"/>
        </w:rPr>
        <w:t xml:space="preserve">SMT </w:t>
      </w:r>
      <w:r w:rsidR="001C5E49" w:rsidRPr="00F24DBD">
        <w:rPr>
          <w:rFonts w:cs="Arial"/>
        </w:rPr>
        <w:t>Member’s Name</w:t>
      </w:r>
      <w:r w:rsidR="00F24DBD" w:rsidRPr="00F24DBD">
        <w:rPr>
          <w:rFonts w:cs="Arial"/>
        </w:rPr>
        <w:t xml:space="preserve">: </w:t>
      </w:r>
      <w:r>
        <w:rPr>
          <w:rFonts w:cs="Arial"/>
        </w:rPr>
        <w:t>Lisa Kitto</w:t>
      </w:r>
      <w:r w:rsidR="00F24DBD" w:rsidRPr="00F24DBD">
        <w:rPr>
          <w:rFonts w:cs="Arial"/>
        </w:rPr>
        <w:t xml:space="preserve"> </w:t>
      </w:r>
    </w:p>
    <w:p w:rsidR="001C5E49" w:rsidRPr="00F24DBD" w:rsidRDefault="001C5E49" w:rsidP="00315D86">
      <w:pPr>
        <w:tabs>
          <w:tab w:val="left" w:pos="2839"/>
        </w:tabs>
        <w:rPr>
          <w:rFonts w:cs="Arial"/>
        </w:rPr>
      </w:pPr>
      <w:r w:rsidRPr="00F24DBD">
        <w:rPr>
          <w:rFonts w:cs="Arial"/>
        </w:rPr>
        <w:t>Job Title</w:t>
      </w:r>
      <w:r w:rsidR="0062451B">
        <w:rPr>
          <w:rFonts w:cs="Arial"/>
        </w:rPr>
        <w:t xml:space="preserve">: </w:t>
      </w:r>
      <w:r w:rsidR="00315D86">
        <w:rPr>
          <w:rFonts w:cs="Arial"/>
        </w:rPr>
        <w:t>Deputy Chief Executive (Resources &amp; Transformation)</w:t>
      </w:r>
    </w:p>
    <w:p w:rsidR="001C5E49" w:rsidRPr="007F1945" w:rsidRDefault="001C5E49" w:rsidP="001467CC">
      <w:pPr>
        <w:tabs>
          <w:tab w:val="left" w:pos="2839"/>
        </w:tabs>
        <w:ind w:left="426" w:hanging="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1C5E49" w:rsidTr="00E2196F">
        <w:tc>
          <w:tcPr>
            <w:tcW w:w="5700" w:type="dxa"/>
            <w:shd w:val="clear" w:color="auto" w:fill="auto"/>
          </w:tcPr>
          <w:p w:rsidR="001C5E49" w:rsidRPr="0031059E" w:rsidRDefault="001C5E49" w:rsidP="001467CC">
            <w:pPr>
              <w:jc w:val="both"/>
              <w:rPr>
                <w:rFonts w:cs="Arial"/>
              </w:rPr>
            </w:pPr>
            <w:r w:rsidRPr="0031059E">
              <w:rPr>
                <w:rFonts w:cs="Arial"/>
              </w:rPr>
              <w:t>Report Author:</w:t>
            </w:r>
          </w:p>
        </w:tc>
        <w:tc>
          <w:tcPr>
            <w:tcW w:w="1559" w:type="dxa"/>
            <w:shd w:val="clear" w:color="auto" w:fill="auto"/>
          </w:tcPr>
          <w:p w:rsidR="001C5E49" w:rsidRPr="0031059E" w:rsidRDefault="001C5E49" w:rsidP="001467CC">
            <w:pPr>
              <w:jc w:val="both"/>
              <w:rPr>
                <w:rFonts w:cs="Arial"/>
              </w:rPr>
            </w:pPr>
            <w:r w:rsidRPr="0031059E">
              <w:rPr>
                <w:rFonts w:cs="Arial"/>
              </w:rPr>
              <w:t>Telephone:</w:t>
            </w:r>
          </w:p>
        </w:tc>
        <w:tc>
          <w:tcPr>
            <w:tcW w:w="2380" w:type="dxa"/>
            <w:shd w:val="clear" w:color="auto" w:fill="auto"/>
          </w:tcPr>
          <w:p w:rsidR="001C5E49" w:rsidRPr="0031059E" w:rsidRDefault="001C5E49" w:rsidP="001467CC">
            <w:pPr>
              <w:jc w:val="both"/>
              <w:rPr>
                <w:rFonts w:cs="Arial"/>
              </w:rPr>
            </w:pPr>
            <w:r w:rsidRPr="0031059E">
              <w:rPr>
                <w:rFonts w:cs="Arial"/>
              </w:rPr>
              <w:t>Date:</w:t>
            </w:r>
          </w:p>
        </w:tc>
      </w:tr>
      <w:tr w:rsidR="001C5E49" w:rsidTr="00E2196F">
        <w:tc>
          <w:tcPr>
            <w:tcW w:w="5700" w:type="dxa"/>
            <w:shd w:val="clear" w:color="auto" w:fill="auto"/>
          </w:tcPr>
          <w:p w:rsidR="001C5E49" w:rsidRDefault="004555FD" w:rsidP="001467CC">
            <w:pPr>
              <w:ind w:left="-539" w:firstLine="539"/>
              <w:jc w:val="both"/>
              <w:rPr>
                <w:rFonts w:cs="Arial"/>
              </w:rPr>
            </w:pPr>
            <w:r>
              <w:rPr>
                <w:rFonts w:cs="Arial"/>
              </w:rPr>
              <w:t>Lee Hurst</w:t>
            </w:r>
          </w:p>
          <w:p w:rsidR="00F24DBD" w:rsidRPr="0031059E" w:rsidRDefault="00FC3332" w:rsidP="001467CC">
            <w:pPr>
              <w:ind w:left="-539" w:firstLine="539"/>
              <w:jc w:val="both"/>
              <w:rPr>
                <w:rFonts w:cs="Arial"/>
              </w:rPr>
            </w:pPr>
            <w:r>
              <w:rPr>
                <w:rFonts w:cs="Arial"/>
              </w:rPr>
              <w:t>Principal Systems &amp; Financial Accountant</w:t>
            </w:r>
          </w:p>
        </w:tc>
        <w:tc>
          <w:tcPr>
            <w:tcW w:w="1559" w:type="dxa"/>
            <w:shd w:val="clear" w:color="auto" w:fill="auto"/>
          </w:tcPr>
          <w:p w:rsidR="001C5E49" w:rsidRPr="0031059E" w:rsidRDefault="004555FD" w:rsidP="001467CC">
            <w:pPr>
              <w:jc w:val="both"/>
              <w:rPr>
                <w:rFonts w:cs="Arial"/>
              </w:rPr>
            </w:pPr>
            <w:r>
              <w:rPr>
                <w:rFonts w:cs="Arial"/>
              </w:rPr>
              <w:t>01257 515481</w:t>
            </w:r>
          </w:p>
        </w:tc>
        <w:tc>
          <w:tcPr>
            <w:tcW w:w="2380" w:type="dxa"/>
            <w:shd w:val="clear" w:color="auto" w:fill="auto"/>
          </w:tcPr>
          <w:p w:rsidR="001C5E49" w:rsidRPr="0031059E" w:rsidRDefault="00A27A48" w:rsidP="001467CC">
            <w:pPr>
              <w:jc w:val="both"/>
              <w:rPr>
                <w:rFonts w:cs="Arial"/>
              </w:rPr>
            </w:pPr>
            <w:r>
              <w:rPr>
                <w:rFonts w:cs="Arial"/>
              </w:rPr>
              <w:t>11</w:t>
            </w:r>
            <w:r w:rsidR="00F24DBD">
              <w:rPr>
                <w:rFonts w:cs="Arial"/>
              </w:rPr>
              <w:t>/</w:t>
            </w:r>
            <w:r>
              <w:rPr>
                <w:rFonts w:cs="Arial"/>
              </w:rPr>
              <w:t>05</w:t>
            </w:r>
            <w:r w:rsidR="00F24DBD">
              <w:rPr>
                <w:rFonts w:cs="Arial"/>
              </w:rPr>
              <w:t>/1</w:t>
            </w:r>
            <w:r w:rsidR="004555FD">
              <w:rPr>
                <w:rFonts w:cs="Arial"/>
              </w:rPr>
              <w:t>8</w:t>
            </w:r>
          </w:p>
        </w:tc>
      </w:tr>
    </w:tbl>
    <w:p w:rsidR="001C5E49" w:rsidRDefault="001C5E49" w:rsidP="005935C0">
      <w:pPr>
        <w:jc w:val="both"/>
        <w:rPr>
          <w:rFonts w:cs="Arial"/>
        </w:rPr>
      </w:pPr>
    </w:p>
    <w:sectPr w:rsidR="001C5E49"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6D" w:rsidRDefault="00FC126D">
      <w:r>
        <w:separator/>
      </w:r>
    </w:p>
  </w:endnote>
  <w:endnote w:type="continuationSeparator" w:id="0">
    <w:p w:rsidR="00FC126D" w:rsidRDefault="00FC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F07" w:rsidRPr="00FD7B65" w:rsidRDefault="00144F07">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E31DB">
      <w:rPr>
        <w:noProof/>
        <w:sz w:val="24"/>
      </w:rPr>
      <w:t>4</w:t>
    </w:r>
    <w:r w:rsidRPr="00FD7B65">
      <w:rPr>
        <w:noProof/>
        <w:sz w:val="24"/>
      </w:rPr>
      <w:fldChar w:fldCharType="end"/>
    </w:r>
  </w:p>
  <w:p w:rsidR="00144F07" w:rsidRDefault="0014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6D" w:rsidRDefault="00FC126D">
      <w:r>
        <w:separator/>
      </w:r>
    </w:p>
  </w:footnote>
  <w:footnote w:type="continuationSeparator" w:id="0">
    <w:p w:rsidR="00FC126D" w:rsidRDefault="00FC1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E6"/>
    <w:multiLevelType w:val="hybridMultilevel"/>
    <w:tmpl w:val="306E6D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3CCA"/>
    <w:multiLevelType w:val="hybridMultilevel"/>
    <w:tmpl w:val="97480E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BB0F72"/>
    <w:multiLevelType w:val="hybridMultilevel"/>
    <w:tmpl w:val="696CF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16D4E"/>
    <w:multiLevelType w:val="hybridMultilevel"/>
    <w:tmpl w:val="500A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A4EC7"/>
    <w:multiLevelType w:val="hybridMultilevel"/>
    <w:tmpl w:val="FC5C0C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442655"/>
    <w:multiLevelType w:val="hybridMultilevel"/>
    <w:tmpl w:val="947A8450"/>
    <w:lvl w:ilvl="0" w:tplc="7432FB96">
      <w:start w:val="1"/>
      <w:numFmt w:val="bullet"/>
      <w:lvlText w:val="►"/>
      <w:lvlJc w:val="left"/>
      <w:pPr>
        <w:tabs>
          <w:tab w:val="num" w:pos="720"/>
        </w:tabs>
        <w:ind w:left="720" w:hanging="360"/>
      </w:pPr>
      <w:rPr>
        <w:rFonts w:ascii="Arial" w:hAnsi="Arial" w:hint="default"/>
      </w:rPr>
    </w:lvl>
    <w:lvl w:ilvl="1" w:tplc="3FD40C02">
      <w:start w:val="1"/>
      <w:numFmt w:val="bullet"/>
      <w:lvlText w:val="►"/>
      <w:lvlJc w:val="left"/>
      <w:pPr>
        <w:tabs>
          <w:tab w:val="num" w:pos="1440"/>
        </w:tabs>
        <w:ind w:left="1440" w:hanging="360"/>
      </w:pPr>
      <w:rPr>
        <w:rFonts w:ascii="Arial" w:hAnsi="Arial" w:hint="default"/>
      </w:rPr>
    </w:lvl>
    <w:lvl w:ilvl="2" w:tplc="F392DCB2" w:tentative="1">
      <w:start w:val="1"/>
      <w:numFmt w:val="bullet"/>
      <w:lvlText w:val="►"/>
      <w:lvlJc w:val="left"/>
      <w:pPr>
        <w:tabs>
          <w:tab w:val="num" w:pos="2160"/>
        </w:tabs>
        <w:ind w:left="2160" w:hanging="360"/>
      </w:pPr>
      <w:rPr>
        <w:rFonts w:ascii="Arial" w:hAnsi="Arial" w:hint="default"/>
      </w:rPr>
    </w:lvl>
    <w:lvl w:ilvl="3" w:tplc="11C4E56C" w:tentative="1">
      <w:start w:val="1"/>
      <w:numFmt w:val="bullet"/>
      <w:lvlText w:val="►"/>
      <w:lvlJc w:val="left"/>
      <w:pPr>
        <w:tabs>
          <w:tab w:val="num" w:pos="2880"/>
        </w:tabs>
        <w:ind w:left="2880" w:hanging="360"/>
      </w:pPr>
      <w:rPr>
        <w:rFonts w:ascii="Arial" w:hAnsi="Arial" w:hint="default"/>
      </w:rPr>
    </w:lvl>
    <w:lvl w:ilvl="4" w:tplc="DE3C4506" w:tentative="1">
      <w:start w:val="1"/>
      <w:numFmt w:val="bullet"/>
      <w:lvlText w:val="►"/>
      <w:lvlJc w:val="left"/>
      <w:pPr>
        <w:tabs>
          <w:tab w:val="num" w:pos="3600"/>
        </w:tabs>
        <w:ind w:left="3600" w:hanging="360"/>
      </w:pPr>
      <w:rPr>
        <w:rFonts w:ascii="Arial" w:hAnsi="Arial" w:hint="default"/>
      </w:rPr>
    </w:lvl>
    <w:lvl w:ilvl="5" w:tplc="8CA4FB9C" w:tentative="1">
      <w:start w:val="1"/>
      <w:numFmt w:val="bullet"/>
      <w:lvlText w:val="►"/>
      <w:lvlJc w:val="left"/>
      <w:pPr>
        <w:tabs>
          <w:tab w:val="num" w:pos="4320"/>
        </w:tabs>
        <w:ind w:left="4320" w:hanging="360"/>
      </w:pPr>
      <w:rPr>
        <w:rFonts w:ascii="Arial" w:hAnsi="Arial" w:hint="default"/>
      </w:rPr>
    </w:lvl>
    <w:lvl w:ilvl="6" w:tplc="205E373A" w:tentative="1">
      <w:start w:val="1"/>
      <w:numFmt w:val="bullet"/>
      <w:lvlText w:val="►"/>
      <w:lvlJc w:val="left"/>
      <w:pPr>
        <w:tabs>
          <w:tab w:val="num" w:pos="5040"/>
        </w:tabs>
        <w:ind w:left="5040" w:hanging="360"/>
      </w:pPr>
      <w:rPr>
        <w:rFonts w:ascii="Arial" w:hAnsi="Arial" w:hint="default"/>
      </w:rPr>
    </w:lvl>
    <w:lvl w:ilvl="7" w:tplc="318E8062" w:tentative="1">
      <w:start w:val="1"/>
      <w:numFmt w:val="bullet"/>
      <w:lvlText w:val="►"/>
      <w:lvlJc w:val="left"/>
      <w:pPr>
        <w:tabs>
          <w:tab w:val="num" w:pos="5760"/>
        </w:tabs>
        <w:ind w:left="5760" w:hanging="360"/>
      </w:pPr>
      <w:rPr>
        <w:rFonts w:ascii="Arial" w:hAnsi="Arial" w:hint="default"/>
      </w:rPr>
    </w:lvl>
    <w:lvl w:ilvl="8" w:tplc="D4486C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2E4A79"/>
    <w:multiLevelType w:val="multilevel"/>
    <w:tmpl w:val="2320C8B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431453A"/>
    <w:multiLevelType w:val="multilevel"/>
    <w:tmpl w:val="88245D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63B05CB"/>
    <w:multiLevelType w:val="hybridMultilevel"/>
    <w:tmpl w:val="F0243C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FF7A13"/>
    <w:multiLevelType w:val="hybridMultilevel"/>
    <w:tmpl w:val="E07C792A"/>
    <w:lvl w:ilvl="0" w:tplc="08090001">
      <w:start w:val="1"/>
      <w:numFmt w:val="bullet"/>
      <w:lvlText w:val=""/>
      <w:lvlJc w:val="left"/>
      <w:pPr>
        <w:ind w:left="1232" w:hanging="360"/>
      </w:pPr>
      <w:rPr>
        <w:rFonts w:ascii="Symbol" w:hAnsi="Symbol" w:hint="default"/>
      </w:rPr>
    </w:lvl>
    <w:lvl w:ilvl="1" w:tplc="08090003" w:tentative="1">
      <w:start w:val="1"/>
      <w:numFmt w:val="bullet"/>
      <w:lvlText w:val="o"/>
      <w:lvlJc w:val="left"/>
      <w:pPr>
        <w:ind w:left="1952" w:hanging="360"/>
      </w:pPr>
      <w:rPr>
        <w:rFonts w:ascii="Courier New" w:hAnsi="Courier New" w:cs="Courier New" w:hint="default"/>
      </w:rPr>
    </w:lvl>
    <w:lvl w:ilvl="2" w:tplc="08090005" w:tentative="1">
      <w:start w:val="1"/>
      <w:numFmt w:val="bullet"/>
      <w:lvlText w:val=""/>
      <w:lvlJc w:val="left"/>
      <w:pPr>
        <w:ind w:left="2672" w:hanging="360"/>
      </w:pPr>
      <w:rPr>
        <w:rFonts w:ascii="Wingdings" w:hAnsi="Wingdings" w:hint="default"/>
      </w:rPr>
    </w:lvl>
    <w:lvl w:ilvl="3" w:tplc="08090001" w:tentative="1">
      <w:start w:val="1"/>
      <w:numFmt w:val="bullet"/>
      <w:lvlText w:val=""/>
      <w:lvlJc w:val="left"/>
      <w:pPr>
        <w:ind w:left="3392" w:hanging="360"/>
      </w:pPr>
      <w:rPr>
        <w:rFonts w:ascii="Symbol" w:hAnsi="Symbol" w:hint="default"/>
      </w:rPr>
    </w:lvl>
    <w:lvl w:ilvl="4" w:tplc="08090003" w:tentative="1">
      <w:start w:val="1"/>
      <w:numFmt w:val="bullet"/>
      <w:lvlText w:val="o"/>
      <w:lvlJc w:val="left"/>
      <w:pPr>
        <w:ind w:left="4112" w:hanging="360"/>
      </w:pPr>
      <w:rPr>
        <w:rFonts w:ascii="Courier New" w:hAnsi="Courier New" w:cs="Courier New" w:hint="default"/>
      </w:rPr>
    </w:lvl>
    <w:lvl w:ilvl="5" w:tplc="08090005" w:tentative="1">
      <w:start w:val="1"/>
      <w:numFmt w:val="bullet"/>
      <w:lvlText w:val=""/>
      <w:lvlJc w:val="left"/>
      <w:pPr>
        <w:ind w:left="4832" w:hanging="360"/>
      </w:pPr>
      <w:rPr>
        <w:rFonts w:ascii="Wingdings" w:hAnsi="Wingdings" w:hint="default"/>
      </w:rPr>
    </w:lvl>
    <w:lvl w:ilvl="6" w:tplc="08090001" w:tentative="1">
      <w:start w:val="1"/>
      <w:numFmt w:val="bullet"/>
      <w:lvlText w:val=""/>
      <w:lvlJc w:val="left"/>
      <w:pPr>
        <w:ind w:left="5552" w:hanging="360"/>
      </w:pPr>
      <w:rPr>
        <w:rFonts w:ascii="Symbol" w:hAnsi="Symbol" w:hint="default"/>
      </w:rPr>
    </w:lvl>
    <w:lvl w:ilvl="7" w:tplc="08090003" w:tentative="1">
      <w:start w:val="1"/>
      <w:numFmt w:val="bullet"/>
      <w:lvlText w:val="o"/>
      <w:lvlJc w:val="left"/>
      <w:pPr>
        <w:ind w:left="6272" w:hanging="360"/>
      </w:pPr>
      <w:rPr>
        <w:rFonts w:ascii="Courier New" w:hAnsi="Courier New" w:cs="Courier New" w:hint="default"/>
      </w:rPr>
    </w:lvl>
    <w:lvl w:ilvl="8" w:tplc="08090005" w:tentative="1">
      <w:start w:val="1"/>
      <w:numFmt w:val="bullet"/>
      <w:lvlText w:val=""/>
      <w:lvlJc w:val="left"/>
      <w:pPr>
        <w:ind w:left="6992" w:hanging="360"/>
      </w:pPr>
      <w:rPr>
        <w:rFonts w:ascii="Wingdings" w:hAnsi="Wingdings" w:hint="default"/>
      </w:rPr>
    </w:lvl>
  </w:abstractNum>
  <w:abstractNum w:abstractNumId="15" w15:restartNumberingAfterBreak="0">
    <w:nsid w:val="181B0854"/>
    <w:multiLevelType w:val="hybridMultilevel"/>
    <w:tmpl w:val="68F05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B06D2"/>
    <w:multiLevelType w:val="hybridMultilevel"/>
    <w:tmpl w:val="FAA420B2"/>
    <w:lvl w:ilvl="0" w:tplc="71A09530">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C436337"/>
    <w:multiLevelType w:val="hybridMultilevel"/>
    <w:tmpl w:val="0F56D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0D1C2B"/>
    <w:multiLevelType w:val="hybridMultilevel"/>
    <w:tmpl w:val="8C528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67338FF"/>
    <w:multiLevelType w:val="hybridMultilevel"/>
    <w:tmpl w:val="78280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6B0724D"/>
    <w:multiLevelType w:val="hybridMultilevel"/>
    <w:tmpl w:val="5F1ACAD4"/>
    <w:lvl w:ilvl="0" w:tplc="F32A122E">
      <w:start w:val="1"/>
      <w:numFmt w:val="decimal"/>
      <w:lvlText w:val="%1.1"/>
      <w:lvlJc w:val="left"/>
      <w:pPr>
        <w:tabs>
          <w:tab w:val="num" w:pos="360"/>
        </w:tabs>
        <w:ind w:left="360" w:hanging="360"/>
      </w:pPr>
      <w:rPr>
        <w:rFonts w:hint="default"/>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663FCD"/>
    <w:multiLevelType w:val="hybridMultilevel"/>
    <w:tmpl w:val="C104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404991"/>
    <w:multiLevelType w:val="hybridMultilevel"/>
    <w:tmpl w:val="1832AB1C"/>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0835F29"/>
    <w:multiLevelType w:val="hybridMultilevel"/>
    <w:tmpl w:val="DE4ED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2D429AE"/>
    <w:multiLevelType w:val="hybridMultilevel"/>
    <w:tmpl w:val="6F5E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EC49C6"/>
    <w:multiLevelType w:val="hybridMultilevel"/>
    <w:tmpl w:val="07C4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2F4DE5"/>
    <w:multiLevelType w:val="hybridMultilevel"/>
    <w:tmpl w:val="FA8A2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7624A6"/>
    <w:multiLevelType w:val="hybridMultilevel"/>
    <w:tmpl w:val="64625AC6"/>
    <w:lvl w:ilvl="0" w:tplc="B5FC2120">
      <w:start w:val="1"/>
      <w:numFmt w:val="bullet"/>
      <w:lvlText w:val="►"/>
      <w:lvlJc w:val="left"/>
      <w:pPr>
        <w:tabs>
          <w:tab w:val="num" w:pos="720"/>
        </w:tabs>
        <w:ind w:left="720" w:hanging="360"/>
      </w:pPr>
      <w:rPr>
        <w:rFonts w:ascii="Arial" w:hAnsi="Arial" w:hint="default"/>
      </w:rPr>
    </w:lvl>
    <w:lvl w:ilvl="1" w:tplc="42620C9A">
      <w:start w:val="1"/>
      <w:numFmt w:val="bullet"/>
      <w:lvlText w:val="►"/>
      <w:lvlJc w:val="left"/>
      <w:pPr>
        <w:tabs>
          <w:tab w:val="num" w:pos="1440"/>
        </w:tabs>
        <w:ind w:left="1440" w:hanging="360"/>
      </w:pPr>
      <w:rPr>
        <w:rFonts w:ascii="Arial" w:hAnsi="Arial" w:hint="default"/>
      </w:rPr>
    </w:lvl>
    <w:lvl w:ilvl="2" w:tplc="F17A915A" w:tentative="1">
      <w:start w:val="1"/>
      <w:numFmt w:val="bullet"/>
      <w:lvlText w:val="►"/>
      <w:lvlJc w:val="left"/>
      <w:pPr>
        <w:tabs>
          <w:tab w:val="num" w:pos="2160"/>
        </w:tabs>
        <w:ind w:left="2160" w:hanging="360"/>
      </w:pPr>
      <w:rPr>
        <w:rFonts w:ascii="Arial" w:hAnsi="Arial" w:hint="default"/>
      </w:rPr>
    </w:lvl>
    <w:lvl w:ilvl="3" w:tplc="C8865DBC" w:tentative="1">
      <w:start w:val="1"/>
      <w:numFmt w:val="bullet"/>
      <w:lvlText w:val="►"/>
      <w:lvlJc w:val="left"/>
      <w:pPr>
        <w:tabs>
          <w:tab w:val="num" w:pos="2880"/>
        </w:tabs>
        <w:ind w:left="2880" w:hanging="360"/>
      </w:pPr>
      <w:rPr>
        <w:rFonts w:ascii="Arial" w:hAnsi="Arial" w:hint="default"/>
      </w:rPr>
    </w:lvl>
    <w:lvl w:ilvl="4" w:tplc="8A7E97AC" w:tentative="1">
      <w:start w:val="1"/>
      <w:numFmt w:val="bullet"/>
      <w:lvlText w:val="►"/>
      <w:lvlJc w:val="left"/>
      <w:pPr>
        <w:tabs>
          <w:tab w:val="num" w:pos="3600"/>
        </w:tabs>
        <w:ind w:left="3600" w:hanging="360"/>
      </w:pPr>
      <w:rPr>
        <w:rFonts w:ascii="Arial" w:hAnsi="Arial" w:hint="default"/>
      </w:rPr>
    </w:lvl>
    <w:lvl w:ilvl="5" w:tplc="45E281C8" w:tentative="1">
      <w:start w:val="1"/>
      <w:numFmt w:val="bullet"/>
      <w:lvlText w:val="►"/>
      <w:lvlJc w:val="left"/>
      <w:pPr>
        <w:tabs>
          <w:tab w:val="num" w:pos="4320"/>
        </w:tabs>
        <w:ind w:left="4320" w:hanging="360"/>
      </w:pPr>
      <w:rPr>
        <w:rFonts w:ascii="Arial" w:hAnsi="Arial" w:hint="default"/>
      </w:rPr>
    </w:lvl>
    <w:lvl w:ilvl="6" w:tplc="79541FDC" w:tentative="1">
      <w:start w:val="1"/>
      <w:numFmt w:val="bullet"/>
      <w:lvlText w:val="►"/>
      <w:lvlJc w:val="left"/>
      <w:pPr>
        <w:tabs>
          <w:tab w:val="num" w:pos="5040"/>
        </w:tabs>
        <w:ind w:left="5040" w:hanging="360"/>
      </w:pPr>
      <w:rPr>
        <w:rFonts w:ascii="Arial" w:hAnsi="Arial" w:hint="default"/>
      </w:rPr>
    </w:lvl>
    <w:lvl w:ilvl="7" w:tplc="A38A4EA0" w:tentative="1">
      <w:start w:val="1"/>
      <w:numFmt w:val="bullet"/>
      <w:lvlText w:val="►"/>
      <w:lvlJc w:val="left"/>
      <w:pPr>
        <w:tabs>
          <w:tab w:val="num" w:pos="5760"/>
        </w:tabs>
        <w:ind w:left="5760" w:hanging="360"/>
      </w:pPr>
      <w:rPr>
        <w:rFonts w:ascii="Arial" w:hAnsi="Arial" w:hint="default"/>
      </w:rPr>
    </w:lvl>
    <w:lvl w:ilvl="8" w:tplc="E00E2B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DF57216"/>
    <w:multiLevelType w:val="hybridMultilevel"/>
    <w:tmpl w:val="2142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E42EA5"/>
    <w:multiLevelType w:val="hybridMultilevel"/>
    <w:tmpl w:val="4D24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89C1562"/>
    <w:multiLevelType w:val="hybridMultilevel"/>
    <w:tmpl w:val="F21E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C83FCF"/>
    <w:multiLevelType w:val="hybridMultilevel"/>
    <w:tmpl w:val="41221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93ADD"/>
    <w:multiLevelType w:val="multilevel"/>
    <w:tmpl w:val="2320C8B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67334AEB"/>
    <w:multiLevelType w:val="hybridMultilevel"/>
    <w:tmpl w:val="A46E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A3F2F"/>
    <w:multiLevelType w:val="hybridMultilevel"/>
    <w:tmpl w:val="66B22D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633192"/>
    <w:multiLevelType w:val="hybridMultilevel"/>
    <w:tmpl w:val="B788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0256F"/>
    <w:multiLevelType w:val="hybridMultilevel"/>
    <w:tmpl w:val="5F1ACAD4"/>
    <w:lvl w:ilvl="0" w:tplc="F32A122E">
      <w:start w:val="1"/>
      <w:numFmt w:val="decimal"/>
      <w:lvlText w:val="%1.1"/>
      <w:lvlJc w:val="left"/>
      <w:pPr>
        <w:tabs>
          <w:tab w:val="num" w:pos="360"/>
        </w:tabs>
        <w:ind w:left="360" w:hanging="360"/>
      </w:pPr>
      <w:rPr>
        <w:rFonts w:hint="default"/>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5F1610"/>
    <w:multiLevelType w:val="hybridMultilevel"/>
    <w:tmpl w:val="518CE38E"/>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AF6647"/>
    <w:multiLevelType w:val="hybridMultilevel"/>
    <w:tmpl w:val="FD52FB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DD0F17"/>
    <w:multiLevelType w:val="hybridMultilevel"/>
    <w:tmpl w:val="C3A2C4A0"/>
    <w:lvl w:ilvl="0" w:tplc="D056FF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A7615"/>
    <w:multiLevelType w:val="hybridMultilevel"/>
    <w:tmpl w:val="A09AAB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28"/>
  </w:num>
  <w:num w:numId="3">
    <w:abstractNumId w:val="36"/>
  </w:num>
  <w:num w:numId="4">
    <w:abstractNumId w:val="19"/>
  </w:num>
  <w:num w:numId="5">
    <w:abstractNumId w:val="27"/>
  </w:num>
  <w:num w:numId="6">
    <w:abstractNumId w:val="13"/>
  </w:num>
  <w:num w:numId="7">
    <w:abstractNumId w:val="9"/>
  </w:num>
  <w:num w:numId="8">
    <w:abstractNumId w:val="11"/>
  </w:num>
  <w:num w:numId="9">
    <w:abstractNumId w:val="1"/>
  </w:num>
  <w:num w:numId="10">
    <w:abstractNumId w:val="7"/>
  </w:num>
  <w:num w:numId="11">
    <w:abstractNumId w:val="8"/>
  </w:num>
  <w:num w:numId="12">
    <w:abstractNumId w:val="18"/>
  </w:num>
  <w:num w:numId="13">
    <w:abstractNumId w:val="24"/>
  </w:num>
  <w:num w:numId="14">
    <w:abstractNumId w:val="35"/>
  </w:num>
  <w:num w:numId="15">
    <w:abstractNumId w:val="45"/>
  </w:num>
  <w:num w:numId="16">
    <w:abstractNumId w:val="23"/>
  </w:num>
  <w:num w:numId="17">
    <w:abstractNumId w:val="31"/>
  </w:num>
  <w:num w:numId="18">
    <w:abstractNumId w:val="30"/>
  </w:num>
  <w:num w:numId="19">
    <w:abstractNumId w:val="6"/>
  </w:num>
  <w:num w:numId="20">
    <w:abstractNumId w:val="44"/>
  </w:num>
  <w:num w:numId="21">
    <w:abstractNumId w:val="33"/>
  </w:num>
  <w:num w:numId="22">
    <w:abstractNumId w:val="0"/>
  </w:num>
  <w:num w:numId="23">
    <w:abstractNumId w:val="2"/>
  </w:num>
  <w:num w:numId="24">
    <w:abstractNumId w:val="38"/>
  </w:num>
  <w:num w:numId="25">
    <w:abstractNumId w:val="3"/>
  </w:num>
  <w:num w:numId="26">
    <w:abstractNumId w:val="21"/>
  </w:num>
  <w:num w:numId="27">
    <w:abstractNumId w:val="41"/>
  </w:num>
  <w:num w:numId="28">
    <w:abstractNumId w:val="5"/>
  </w:num>
  <w:num w:numId="29">
    <w:abstractNumId w:val="42"/>
  </w:num>
  <w:num w:numId="30">
    <w:abstractNumId w:val="43"/>
  </w:num>
  <w:num w:numId="31">
    <w:abstractNumId w:val="4"/>
  </w:num>
  <w:num w:numId="32">
    <w:abstractNumId w:val="14"/>
  </w:num>
  <w:num w:numId="33">
    <w:abstractNumId w:val="2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4"/>
  </w:num>
  <w:num w:numId="37">
    <w:abstractNumId w:val="15"/>
  </w:num>
  <w:num w:numId="38">
    <w:abstractNumId w:val="39"/>
  </w:num>
  <w:num w:numId="39">
    <w:abstractNumId w:val="29"/>
  </w:num>
  <w:num w:numId="40">
    <w:abstractNumId w:val="25"/>
  </w:num>
  <w:num w:numId="41">
    <w:abstractNumId w:val="40"/>
  </w:num>
  <w:num w:numId="42">
    <w:abstractNumId w:val="32"/>
  </w:num>
  <w:num w:numId="43">
    <w:abstractNumId w:val="12"/>
  </w:num>
  <w:num w:numId="44">
    <w:abstractNumId w:val="17"/>
  </w:num>
  <w:num w:numId="45">
    <w:abstractNumId w:val="10"/>
  </w:num>
  <w:num w:numId="46">
    <w:abstractNumId w:val="3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3A7D"/>
    <w:rsid w:val="00016DD3"/>
    <w:rsid w:val="00025DED"/>
    <w:rsid w:val="00027ABA"/>
    <w:rsid w:val="0003102C"/>
    <w:rsid w:val="0003128F"/>
    <w:rsid w:val="00035DB0"/>
    <w:rsid w:val="00040039"/>
    <w:rsid w:val="000411A0"/>
    <w:rsid w:val="00044B96"/>
    <w:rsid w:val="000501DD"/>
    <w:rsid w:val="00052051"/>
    <w:rsid w:val="00066755"/>
    <w:rsid w:val="00077CDC"/>
    <w:rsid w:val="00081531"/>
    <w:rsid w:val="000B790E"/>
    <w:rsid w:val="000B7F57"/>
    <w:rsid w:val="000C4A67"/>
    <w:rsid w:val="000C5255"/>
    <w:rsid w:val="000D01B5"/>
    <w:rsid w:val="000E10FE"/>
    <w:rsid w:val="000F2C8A"/>
    <w:rsid w:val="00103903"/>
    <w:rsid w:val="001114AB"/>
    <w:rsid w:val="00131767"/>
    <w:rsid w:val="00136D96"/>
    <w:rsid w:val="00144F07"/>
    <w:rsid w:val="001467CC"/>
    <w:rsid w:val="001544DD"/>
    <w:rsid w:val="00162536"/>
    <w:rsid w:val="00184E1D"/>
    <w:rsid w:val="001C5E49"/>
    <w:rsid w:val="001E1B24"/>
    <w:rsid w:val="001E1B68"/>
    <w:rsid w:val="001E2D03"/>
    <w:rsid w:val="001F3F6C"/>
    <w:rsid w:val="00201C5D"/>
    <w:rsid w:val="0021003E"/>
    <w:rsid w:val="00210092"/>
    <w:rsid w:val="002221BD"/>
    <w:rsid w:val="00245800"/>
    <w:rsid w:val="00253320"/>
    <w:rsid w:val="002543F9"/>
    <w:rsid w:val="0025591B"/>
    <w:rsid w:val="00267EE4"/>
    <w:rsid w:val="00280B00"/>
    <w:rsid w:val="00281AE1"/>
    <w:rsid w:val="002820A5"/>
    <w:rsid w:val="00282E26"/>
    <w:rsid w:val="002966B9"/>
    <w:rsid w:val="002A0680"/>
    <w:rsid w:val="002B7F15"/>
    <w:rsid w:val="002C0479"/>
    <w:rsid w:val="002E4FF4"/>
    <w:rsid w:val="002F5C5E"/>
    <w:rsid w:val="00314816"/>
    <w:rsid w:val="00315D86"/>
    <w:rsid w:val="00316AC7"/>
    <w:rsid w:val="00342AB1"/>
    <w:rsid w:val="00345C71"/>
    <w:rsid w:val="00386AAD"/>
    <w:rsid w:val="003902A2"/>
    <w:rsid w:val="003A1B3F"/>
    <w:rsid w:val="003A23D3"/>
    <w:rsid w:val="003A2919"/>
    <w:rsid w:val="003B1E6D"/>
    <w:rsid w:val="003C36EB"/>
    <w:rsid w:val="003E1639"/>
    <w:rsid w:val="003E33E6"/>
    <w:rsid w:val="003E3B7F"/>
    <w:rsid w:val="003F5603"/>
    <w:rsid w:val="00405D4A"/>
    <w:rsid w:val="004218EA"/>
    <w:rsid w:val="00442C46"/>
    <w:rsid w:val="004555FD"/>
    <w:rsid w:val="004609D0"/>
    <w:rsid w:val="00474DA8"/>
    <w:rsid w:val="0047741D"/>
    <w:rsid w:val="004A45D4"/>
    <w:rsid w:val="004D7260"/>
    <w:rsid w:val="004E17A2"/>
    <w:rsid w:val="004F23B3"/>
    <w:rsid w:val="005041BB"/>
    <w:rsid w:val="005320E9"/>
    <w:rsid w:val="00533525"/>
    <w:rsid w:val="00547120"/>
    <w:rsid w:val="00547481"/>
    <w:rsid w:val="0054767E"/>
    <w:rsid w:val="005715C3"/>
    <w:rsid w:val="00571856"/>
    <w:rsid w:val="00576A82"/>
    <w:rsid w:val="005935C0"/>
    <w:rsid w:val="00593CC8"/>
    <w:rsid w:val="005A26AD"/>
    <w:rsid w:val="005A6B54"/>
    <w:rsid w:val="005B09B5"/>
    <w:rsid w:val="005B0C36"/>
    <w:rsid w:val="005B2E0B"/>
    <w:rsid w:val="005D4F59"/>
    <w:rsid w:val="005E1D64"/>
    <w:rsid w:val="005E31DB"/>
    <w:rsid w:val="005E6F5B"/>
    <w:rsid w:val="0060374B"/>
    <w:rsid w:val="0062451B"/>
    <w:rsid w:val="00630F86"/>
    <w:rsid w:val="00633396"/>
    <w:rsid w:val="00641B4A"/>
    <w:rsid w:val="00645A0B"/>
    <w:rsid w:val="00646967"/>
    <w:rsid w:val="00651364"/>
    <w:rsid w:val="006531EE"/>
    <w:rsid w:val="006555E6"/>
    <w:rsid w:val="0068400C"/>
    <w:rsid w:val="006876CC"/>
    <w:rsid w:val="006879CA"/>
    <w:rsid w:val="00695E04"/>
    <w:rsid w:val="0069689F"/>
    <w:rsid w:val="006A30FA"/>
    <w:rsid w:val="006B13F3"/>
    <w:rsid w:val="006B645E"/>
    <w:rsid w:val="006B7116"/>
    <w:rsid w:val="006C04C1"/>
    <w:rsid w:val="006C209A"/>
    <w:rsid w:val="006D5622"/>
    <w:rsid w:val="006E09FB"/>
    <w:rsid w:val="006F1494"/>
    <w:rsid w:val="006F2214"/>
    <w:rsid w:val="006F76A3"/>
    <w:rsid w:val="00707E99"/>
    <w:rsid w:val="00712E3F"/>
    <w:rsid w:val="00725FC0"/>
    <w:rsid w:val="00735683"/>
    <w:rsid w:val="00757C36"/>
    <w:rsid w:val="00760351"/>
    <w:rsid w:val="007646A4"/>
    <w:rsid w:val="00767486"/>
    <w:rsid w:val="007935DD"/>
    <w:rsid w:val="007A316A"/>
    <w:rsid w:val="007B612C"/>
    <w:rsid w:val="007B7FCF"/>
    <w:rsid w:val="007D1C9E"/>
    <w:rsid w:val="00812229"/>
    <w:rsid w:val="00817FD0"/>
    <w:rsid w:val="0083249B"/>
    <w:rsid w:val="00851B9A"/>
    <w:rsid w:val="00865241"/>
    <w:rsid w:val="00880C30"/>
    <w:rsid w:val="00893AD2"/>
    <w:rsid w:val="008A2E50"/>
    <w:rsid w:val="008A2F6B"/>
    <w:rsid w:val="008A42E3"/>
    <w:rsid w:val="008A77AB"/>
    <w:rsid w:val="008B41C5"/>
    <w:rsid w:val="008B54F8"/>
    <w:rsid w:val="008C3B1A"/>
    <w:rsid w:val="008D3C4E"/>
    <w:rsid w:val="008D5169"/>
    <w:rsid w:val="008D623F"/>
    <w:rsid w:val="008E5E47"/>
    <w:rsid w:val="008F4B91"/>
    <w:rsid w:val="0090542C"/>
    <w:rsid w:val="009350CB"/>
    <w:rsid w:val="00951015"/>
    <w:rsid w:val="00952C31"/>
    <w:rsid w:val="009538AE"/>
    <w:rsid w:val="00963D4D"/>
    <w:rsid w:val="00976F87"/>
    <w:rsid w:val="00980267"/>
    <w:rsid w:val="00983CD5"/>
    <w:rsid w:val="00985978"/>
    <w:rsid w:val="0099287A"/>
    <w:rsid w:val="00992E79"/>
    <w:rsid w:val="009A714A"/>
    <w:rsid w:val="009A79BA"/>
    <w:rsid w:val="009B4D79"/>
    <w:rsid w:val="009C1143"/>
    <w:rsid w:val="009D06D9"/>
    <w:rsid w:val="009E48E0"/>
    <w:rsid w:val="009E7F5A"/>
    <w:rsid w:val="00A1406A"/>
    <w:rsid w:val="00A21479"/>
    <w:rsid w:val="00A22426"/>
    <w:rsid w:val="00A22D02"/>
    <w:rsid w:val="00A268A6"/>
    <w:rsid w:val="00A27A48"/>
    <w:rsid w:val="00A30426"/>
    <w:rsid w:val="00A34B37"/>
    <w:rsid w:val="00A43FEB"/>
    <w:rsid w:val="00A4702E"/>
    <w:rsid w:val="00A50754"/>
    <w:rsid w:val="00A5440D"/>
    <w:rsid w:val="00A76482"/>
    <w:rsid w:val="00A805B5"/>
    <w:rsid w:val="00AA7E2B"/>
    <w:rsid w:val="00AB43EA"/>
    <w:rsid w:val="00AC4A99"/>
    <w:rsid w:val="00AD3258"/>
    <w:rsid w:val="00AD6613"/>
    <w:rsid w:val="00AD7324"/>
    <w:rsid w:val="00B016D2"/>
    <w:rsid w:val="00B05FE8"/>
    <w:rsid w:val="00B06720"/>
    <w:rsid w:val="00B1788B"/>
    <w:rsid w:val="00B36135"/>
    <w:rsid w:val="00B443DD"/>
    <w:rsid w:val="00B51DB8"/>
    <w:rsid w:val="00B57841"/>
    <w:rsid w:val="00B62D79"/>
    <w:rsid w:val="00B70B91"/>
    <w:rsid w:val="00B716F5"/>
    <w:rsid w:val="00B72A06"/>
    <w:rsid w:val="00B766C4"/>
    <w:rsid w:val="00B774AD"/>
    <w:rsid w:val="00B92B82"/>
    <w:rsid w:val="00B96DE3"/>
    <w:rsid w:val="00BA2606"/>
    <w:rsid w:val="00BC30D9"/>
    <w:rsid w:val="00BC6635"/>
    <w:rsid w:val="00BE546F"/>
    <w:rsid w:val="00C022F9"/>
    <w:rsid w:val="00C04193"/>
    <w:rsid w:val="00C209E3"/>
    <w:rsid w:val="00C30128"/>
    <w:rsid w:val="00C41F22"/>
    <w:rsid w:val="00C52450"/>
    <w:rsid w:val="00C64ED1"/>
    <w:rsid w:val="00C66BAA"/>
    <w:rsid w:val="00CB32DF"/>
    <w:rsid w:val="00CB76DA"/>
    <w:rsid w:val="00CC3246"/>
    <w:rsid w:val="00CE3DA1"/>
    <w:rsid w:val="00CE4482"/>
    <w:rsid w:val="00CF6B60"/>
    <w:rsid w:val="00D03328"/>
    <w:rsid w:val="00D21015"/>
    <w:rsid w:val="00D36638"/>
    <w:rsid w:val="00D37BAE"/>
    <w:rsid w:val="00D772AB"/>
    <w:rsid w:val="00D90A00"/>
    <w:rsid w:val="00D91845"/>
    <w:rsid w:val="00D9371C"/>
    <w:rsid w:val="00DB3FD0"/>
    <w:rsid w:val="00DD4303"/>
    <w:rsid w:val="00DD492D"/>
    <w:rsid w:val="00DE5E12"/>
    <w:rsid w:val="00DF7D67"/>
    <w:rsid w:val="00E05B7D"/>
    <w:rsid w:val="00E06917"/>
    <w:rsid w:val="00E1004C"/>
    <w:rsid w:val="00E21708"/>
    <w:rsid w:val="00E2196F"/>
    <w:rsid w:val="00E2276E"/>
    <w:rsid w:val="00E41950"/>
    <w:rsid w:val="00E467FE"/>
    <w:rsid w:val="00E569CB"/>
    <w:rsid w:val="00E577A2"/>
    <w:rsid w:val="00E60A53"/>
    <w:rsid w:val="00E67421"/>
    <w:rsid w:val="00E733A5"/>
    <w:rsid w:val="00E753EC"/>
    <w:rsid w:val="00E75F02"/>
    <w:rsid w:val="00E771B3"/>
    <w:rsid w:val="00E84459"/>
    <w:rsid w:val="00E971A2"/>
    <w:rsid w:val="00EB2D32"/>
    <w:rsid w:val="00EB5C5D"/>
    <w:rsid w:val="00EB7C94"/>
    <w:rsid w:val="00EC6A7B"/>
    <w:rsid w:val="00ED257A"/>
    <w:rsid w:val="00F010C1"/>
    <w:rsid w:val="00F24DBD"/>
    <w:rsid w:val="00F27D31"/>
    <w:rsid w:val="00F3057A"/>
    <w:rsid w:val="00F30E9C"/>
    <w:rsid w:val="00F45B2D"/>
    <w:rsid w:val="00F55E4D"/>
    <w:rsid w:val="00F61752"/>
    <w:rsid w:val="00F67F95"/>
    <w:rsid w:val="00F85FB9"/>
    <w:rsid w:val="00FA6E1F"/>
    <w:rsid w:val="00FB6093"/>
    <w:rsid w:val="00FC126D"/>
    <w:rsid w:val="00FC3332"/>
    <w:rsid w:val="00FD2131"/>
    <w:rsid w:val="00FD7B65"/>
    <w:rsid w:val="00FE4521"/>
    <w:rsid w:val="00FF0A38"/>
    <w:rsid w:val="00FF381C"/>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D1C140-D4DD-49C7-9335-60AF84D0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39"/>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8C3B1A"/>
    <w:rPr>
      <w:rFonts w:ascii="Tahoma" w:hAnsi="Tahoma" w:cs="Tahoma"/>
      <w:sz w:val="16"/>
      <w:szCs w:val="16"/>
    </w:rPr>
  </w:style>
  <w:style w:type="character" w:customStyle="1" w:styleId="BalloonTextChar">
    <w:name w:val="Balloon Text Char"/>
    <w:link w:val="BalloonText"/>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Revision">
    <w:name w:val="Revision"/>
    <w:hidden/>
    <w:uiPriority w:val="99"/>
    <w:semiHidden/>
    <w:rsid w:val="00E21708"/>
    <w:rPr>
      <w:rFonts w:ascii="Arial" w:hAnsi="Arial"/>
      <w:sz w:val="22"/>
    </w:rPr>
  </w:style>
  <w:style w:type="character" w:styleId="Emphasis">
    <w:name w:val="Emphasis"/>
    <w:basedOn w:val="DefaultParagraphFont"/>
    <w:uiPriority w:val="20"/>
    <w:qFormat/>
    <w:rsid w:val="00AB43EA"/>
    <w:rPr>
      <w:i/>
      <w:iCs/>
    </w:rPr>
  </w:style>
  <w:style w:type="character" w:styleId="FollowedHyperlink">
    <w:name w:val="FollowedHyperlink"/>
    <w:basedOn w:val="DefaultParagraphFont"/>
    <w:uiPriority w:val="99"/>
    <w:semiHidden/>
    <w:unhideWhenUsed/>
    <w:rsid w:val="00201C5D"/>
    <w:rPr>
      <w:color w:val="954F72" w:themeColor="followedHyperlink"/>
      <w:u w:val="single"/>
    </w:rPr>
  </w:style>
  <w:style w:type="numbering" w:customStyle="1" w:styleId="NoList1">
    <w:name w:val="No List1"/>
    <w:next w:val="NoList"/>
    <w:uiPriority w:val="99"/>
    <w:semiHidden/>
    <w:unhideWhenUsed/>
    <w:rsid w:val="00201C5D"/>
  </w:style>
  <w:style w:type="paragraph" w:styleId="BodyText2">
    <w:name w:val="Body Text 2"/>
    <w:basedOn w:val="Normal"/>
    <w:link w:val="BodyText2Char"/>
    <w:rsid w:val="00201C5D"/>
    <w:pPr>
      <w:spacing w:after="120" w:line="480" w:lineRule="auto"/>
    </w:pPr>
  </w:style>
  <w:style w:type="character" w:customStyle="1" w:styleId="BodyText2Char">
    <w:name w:val="Body Text 2 Char"/>
    <w:basedOn w:val="DefaultParagraphFont"/>
    <w:link w:val="BodyText2"/>
    <w:rsid w:val="00201C5D"/>
    <w:rPr>
      <w:rFonts w:ascii="Arial" w:hAnsi="Arial"/>
      <w:sz w:val="22"/>
    </w:rPr>
  </w:style>
  <w:style w:type="character" w:customStyle="1" w:styleId="HeaderChar">
    <w:name w:val="Header Char"/>
    <w:link w:val="Header"/>
    <w:rsid w:val="00201C5D"/>
    <w:rPr>
      <w:rFonts w:ascii="Arial" w:hAnsi="Arial"/>
      <w:sz w:val="22"/>
    </w:rPr>
  </w:style>
  <w:style w:type="character" w:styleId="CommentReference">
    <w:name w:val="annotation reference"/>
    <w:basedOn w:val="DefaultParagraphFont"/>
    <w:uiPriority w:val="99"/>
    <w:semiHidden/>
    <w:unhideWhenUsed/>
    <w:rsid w:val="00963D4D"/>
    <w:rPr>
      <w:sz w:val="16"/>
      <w:szCs w:val="16"/>
    </w:rPr>
  </w:style>
  <w:style w:type="paragraph" w:styleId="CommentText">
    <w:name w:val="annotation text"/>
    <w:basedOn w:val="Normal"/>
    <w:link w:val="CommentTextChar"/>
    <w:uiPriority w:val="99"/>
    <w:semiHidden/>
    <w:unhideWhenUsed/>
    <w:rsid w:val="00963D4D"/>
    <w:rPr>
      <w:sz w:val="20"/>
    </w:rPr>
  </w:style>
  <w:style w:type="character" w:customStyle="1" w:styleId="CommentTextChar">
    <w:name w:val="Comment Text Char"/>
    <w:basedOn w:val="DefaultParagraphFont"/>
    <w:link w:val="CommentText"/>
    <w:uiPriority w:val="99"/>
    <w:semiHidden/>
    <w:rsid w:val="00963D4D"/>
    <w:rPr>
      <w:rFonts w:ascii="Arial" w:hAnsi="Arial"/>
    </w:rPr>
  </w:style>
  <w:style w:type="paragraph" w:styleId="CommentSubject">
    <w:name w:val="annotation subject"/>
    <w:basedOn w:val="CommentText"/>
    <w:next w:val="CommentText"/>
    <w:link w:val="CommentSubjectChar"/>
    <w:uiPriority w:val="99"/>
    <w:semiHidden/>
    <w:unhideWhenUsed/>
    <w:rsid w:val="00963D4D"/>
    <w:rPr>
      <w:b/>
      <w:bCs/>
    </w:rPr>
  </w:style>
  <w:style w:type="character" w:customStyle="1" w:styleId="CommentSubjectChar">
    <w:name w:val="Comment Subject Char"/>
    <w:basedOn w:val="CommentTextChar"/>
    <w:link w:val="CommentSubject"/>
    <w:uiPriority w:val="99"/>
    <w:semiHidden/>
    <w:rsid w:val="00963D4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804">
      <w:bodyDiv w:val="1"/>
      <w:marLeft w:val="0"/>
      <w:marRight w:val="0"/>
      <w:marTop w:val="0"/>
      <w:marBottom w:val="0"/>
      <w:divBdr>
        <w:top w:val="none" w:sz="0" w:space="0" w:color="auto"/>
        <w:left w:val="none" w:sz="0" w:space="0" w:color="auto"/>
        <w:bottom w:val="none" w:sz="0" w:space="0" w:color="auto"/>
        <w:right w:val="none" w:sz="0" w:space="0" w:color="auto"/>
      </w:divBdr>
    </w:div>
    <w:div w:id="77599395">
      <w:bodyDiv w:val="1"/>
      <w:marLeft w:val="0"/>
      <w:marRight w:val="0"/>
      <w:marTop w:val="0"/>
      <w:marBottom w:val="0"/>
      <w:divBdr>
        <w:top w:val="none" w:sz="0" w:space="0" w:color="auto"/>
        <w:left w:val="none" w:sz="0" w:space="0" w:color="auto"/>
        <w:bottom w:val="none" w:sz="0" w:space="0" w:color="auto"/>
        <w:right w:val="none" w:sz="0" w:space="0" w:color="auto"/>
      </w:divBdr>
    </w:div>
    <w:div w:id="177471793">
      <w:bodyDiv w:val="1"/>
      <w:marLeft w:val="0"/>
      <w:marRight w:val="0"/>
      <w:marTop w:val="0"/>
      <w:marBottom w:val="0"/>
      <w:divBdr>
        <w:top w:val="none" w:sz="0" w:space="0" w:color="auto"/>
        <w:left w:val="none" w:sz="0" w:space="0" w:color="auto"/>
        <w:bottom w:val="none" w:sz="0" w:space="0" w:color="auto"/>
        <w:right w:val="none" w:sz="0" w:space="0" w:color="auto"/>
      </w:divBdr>
      <w:divsChild>
        <w:div w:id="1607536935">
          <w:marLeft w:val="-225"/>
          <w:marRight w:val="-225"/>
          <w:marTop w:val="0"/>
          <w:marBottom w:val="0"/>
          <w:divBdr>
            <w:top w:val="none" w:sz="0" w:space="0" w:color="auto"/>
            <w:left w:val="none" w:sz="0" w:space="0" w:color="auto"/>
            <w:bottom w:val="none" w:sz="0" w:space="0" w:color="auto"/>
            <w:right w:val="none" w:sz="0" w:space="0" w:color="auto"/>
          </w:divBdr>
          <w:divsChild>
            <w:div w:id="1918131849">
              <w:marLeft w:val="0"/>
              <w:marRight w:val="0"/>
              <w:marTop w:val="0"/>
              <w:marBottom w:val="0"/>
              <w:divBdr>
                <w:top w:val="none" w:sz="0" w:space="0" w:color="auto"/>
                <w:left w:val="none" w:sz="0" w:space="0" w:color="auto"/>
                <w:bottom w:val="none" w:sz="0" w:space="0" w:color="auto"/>
                <w:right w:val="none" w:sz="0" w:space="0" w:color="auto"/>
              </w:divBdr>
              <w:divsChild>
                <w:div w:id="487408908">
                  <w:marLeft w:val="0"/>
                  <w:marRight w:val="0"/>
                  <w:marTop w:val="0"/>
                  <w:marBottom w:val="0"/>
                  <w:divBdr>
                    <w:top w:val="none" w:sz="0" w:space="0" w:color="auto"/>
                    <w:left w:val="none" w:sz="0" w:space="0" w:color="auto"/>
                    <w:bottom w:val="none" w:sz="0" w:space="0" w:color="auto"/>
                    <w:right w:val="none" w:sz="0" w:space="0" w:color="auto"/>
                  </w:divBdr>
                  <w:divsChild>
                    <w:div w:id="1710952593">
                      <w:marLeft w:val="0"/>
                      <w:marRight w:val="0"/>
                      <w:marTop w:val="0"/>
                      <w:marBottom w:val="0"/>
                      <w:divBdr>
                        <w:top w:val="none" w:sz="0" w:space="0" w:color="auto"/>
                        <w:left w:val="none" w:sz="0" w:space="0" w:color="auto"/>
                        <w:bottom w:val="none" w:sz="0" w:space="0" w:color="auto"/>
                        <w:right w:val="none" w:sz="0" w:space="0" w:color="auto"/>
                      </w:divBdr>
                      <w:divsChild>
                        <w:div w:id="1583102405">
                          <w:marLeft w:val="0"/>
                          <w:marRight w:val="0"/>
                          <w:marTop w:val="0"/>
                          <w:marBottom w:val="0"/>
                          <w:divBdr>
                            <w:top w:val="none" w:sz="0" w:space="0" w:color="auto"/>
                            <w:left w:val="none" w:sz="0" w:space="0" w:color="auto"/>
                            <w:bottom w:val="none" w:sz="0" w:space="0" w:color="auto"/>
                            <w:right w:val="none" w:sz="0" w:space="0" w:color="auto"/>
                          </w:divBdr>
                          <w:divsChild>
                            <w:div w:id="1668942030">
                              <w:marLeft w:val="0"/>
                              <w:marRight w:val="0"/>
                              <w:marTop w:val="120"/>
                              <w:marBottom w:val="120"/>
                              <w:divBdr>
                                <w:top w:val="none" w:sz="0" w:space="0" w:color="auto"/>
                                <w:left w:val="none" w:sz="0" w:space="0" w:color="auto"/>
                                <w:bottom w:val="none" w:sz="0" w:space="0" w:color="auto"/>
                                <w:right w:val="none" w:sz="0" w:space="0" w:color="auto"/>
                              </w:divBdr>
                              <w:divsChild>
                                <w:div w:id="13857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903025433">
      <w:bodyDiv w:val="1"/>
      <w:marLeft w:val="0"/>
      <w:marRight w:val="0"/>
      <w:marTop w:val="0"/>
      <w:marBottom w:val="0"/>
      <w:divBdr>
        <w:top w:val="none" w:sz="0" w:space="0" w:color="auto"/>
        <w:left w:val="none" w:sz="0" w:space="0" w:color="auto"/>
        <w:bottom w:val="none" w:sz="0" w:space="0" w:color="auto"/>
        <w:right w:val="none" w:sz="0" w:space="0" w:color="auto"/>
      </w:divBdr>
      <w:divsChild>
        <w:div w:id="12919652">
          <w:marLeft w:val="1166"/>
          <w:marRight w:val="0"/>
          <w:marTop w:val="48"/>
          <w:marBottom w:val="0"/>
          <w:divBdr>
            <w:top w:val="none" w:sz="0" w:space="0" w:color="auto"/>
            <w:left w:val="none" w:sz="0" w:space="0" w:color="auto"/>
            <w:bottom w:val="none" w:sz="0" w:space="0" w:color="auto"/>
            <w:right w:val="none" w:sz="0" w:space="0" w:color="auto"/>
          </w:divBdr>
        </w:div>
        <w:div w:id="222065725">
          <w:marLeft w:val="1166"/>
          <w:marRight w:val="0"/>
          <w:marTop w:val="48"/>
          <w:marBottom w:val="0"/>
          <w:divBdr>
            <w:top w:val="none" w:sz="0" w:space="0" w:color="auto"/>
            <w:left w:val="none" w:sz="0" w:space="0" w:color="auto"/>
            <w:bottom w:val="none" w:sz="0" w:space="0" w:color="auto"/>
            <w:right w:val="none" w:sz="0" w:space="0" w:color="auto"/>
          </w:divBdr>
        </w:div>
        <w:div w:id="347145690">
          <w:marLeft w:val="1166"/>
          <w:marRight w:val="0"/>
          <w:marTop w:val="48"/>
          <w:marBottom w:val="0"/>
          <w:divBdr>
            <w:top w:val="none" w:sz="0" w:space="0" w:color="auto"/>
            <w:left w:val="none" w:sz="0" w:space="0" w:color="auto"/>
            <w:bottom w:val="none" w:sz="0" w:space="0" w:color="auto"/>
            <w:right w:val="none" w:sz="0" w:space="0" w:color="auto"/>
          </w:divBdr>
        </w:div>
        <w:div w:id="1406761184">
          <w:marLeft w:val="1166"/>
          <w:marRight w:val="0"/>
          <w:marTop w:val="48"/>
          <w:marBottom w:val="0"/>
          <w:divBdr>
            <w:top w:val="none" w:sz="0" w:space="0" w:color="auto"/>
            <w:left w:val="none" w:sz="0" w:space="0" w:color="auto"/>
            <w:bottom w:val="none" w:sz="0" w:space="0" w:color="auto"/>
            <w:right w:val="none" w:sz="0" w:space="0" w:color="auto"/>
          </w:divBdr>
        </w:div>
        <w:div w:id="1564873889">
          <w:marLeft w:val="1166"/>
          <w:marRight w:val="0"/>
          <w:marTop w:val="48"/>
          <w:marBottom w:val="0"/>
          <w:divBdr>
            <w:top w:val="none" w:sz="0" w:space="0" w:color="auto"/>
            <w:left w:val="none" w:sz="0" w:space="0" w:color="auto"/>
            <w:bottom w:val="none" w:sz="0" w:space="0" w:color="auto"/>
            <w:right w:val="none" w:sz="0" w:space="0" w:color="auto"/>
          </w:divBdr>
        </w:div>
        <w:div w:id="1652060044">
          <w:marLeft w:val="1166"/>
          <w:marRight w:val="0"/>
          <w:marTop w:val="48"/>
          <w:marBottom w:val="0"/>
          <w:divBdr>
            <w:top w:val="none" w:sz="0" w:space="0" w:color="auto"/>
            <w:left w:val="none" w:sz="0" w:space="0" w:color="auto"/>
            <w:bottom w:val="none" w:sz="0" w:space="0" w:color="auto"/>
            <w:right w:val="none" w:sz="0" w:space="0" w:color="auto"/>
          </w:divBdr>
        </w:div>
        <w:div w:id="1703049927">
          <w:marLeft w:val="1166"/>
          <w:marRight w:val="0"/>
          <w:marTop w:val="48"/>
          <w:marBottom w:val="0"/>
          <w:divBdr>
            <w:top w:val="none" w:sz="0" w:space="0" w:color="auto"/>
            <w:left w:val="none" w:sz="0" w:space="0" w:color="auto"/>
            <w:bottom w:val="none" w:sz="0" w:space="0" w:color="auto"/>
            <w:right w:val="none" w:sz="0" w:space="0" w:color="auto"/>
          </w:divBdr>
        </w:div>
        <w:div w:id="2002150652">
          <w:marLeft w:val="1166"/>
          <w:marRight w:val="0"/>
          <w:marTop w:val="48"/>
          <w:marBottom w:val="0"/>
          <w:divBdr>
            <w:top w:val="none" w:sz="0" w:space="0" w:color="auto"/>
            <w:left w:val="none" w:sz="0" w:space="0" w:color="auto"/>
            <w:bottom w:val="none" w:sz="0" w:space="0" w:color="auto"/>
            <w:right w:val="none" w:sz="0" w:space="0" w:color="auto"/>
          </w:divBdr>
        </w:div>
        <w:div w:id="2015842952">
          <w:marLeft w:val="1166"/>
          <w:marRight w:val="0"/>
          <w:marTop w:val="48"/>
          <w:marBottom w:val="0"/>
          <w:divBdr>
            <w:top w:val="none" w:sz="0" w:space="0" w:color="auto"/>
            <w:left w:val="none" w:sz="0" w:space="0" w:color="auto"/>
            <w:bottom w:val="none" w:sz="0" w:space="0" w:color="auto"/>
            <w:right w:val="none" w:sz="0" w:space="0" w:color="auto"/>
          </w:divBdr>
        </w:div>
        <w:div w:id="2031948621">
          <w:marLeft w:val="1166"/>
          <w:marRight w:val="0"/>
          <w:marTop w:val="48"/>
          <w:marBottom w:val="0"/>
          <w:divBdr>
            <w:top w:val="none" w:sz="0" w:space="0" w:color="auto"/>
            <w:left w:val="none" w:sz="0" w:space="0" w:color="auto"/>
            <w:bottom w:val="none" w:sz="0" w:space="0" w:color="auto"/>
            <w:right w:val="none" w:sz="0" w:space="0" w:color="auto"/>
          </w:divBdr>
        </w:div>
      </w:divsChild>
    </w:div>
    <w:div w:id="1428887861">
      <w:bodyDiv w:val="1"/>
      <w:marLeft w:val="0"/>
      <w:marRight w:val="0"/>
      <w:marTop w:val="0"/>
      <w:marBottom w:val="0"/>
      <w:divBdr>
        <w:top w:val="none" w:sz="0" w:space="0" w:color="auto"/>
        <w:left w:val="none" w:sz="0" w:space="0" w:color="auto"/>
        <w:bottom w:val="none" w:sz="0" w:space="0" w:color="auto"/>
        <w:right w:val="none" w:sz="0" w:space="0" w:color="auto"/>
      </w:divBdr>
      <w:divsChild>
        <w:div w:id="142553774">
          <w:marLeft w:val="1166"/>
          <w:marRight w:val="0"/>
          <w:marTop w:val="48"/>
          <w:marBottom w:val="0"/>
          <w:divBdr>
            <w:top w:val="none" w:sz="0" w:space="0" w:color="auto"/>
            <w:left w:val="none" w:sz="0" w:space="0" w:color="auto"/>
            <w:bottom w:val="none" w:sz="0" w:space="0" w:color="auto"/>
            <w:right w:val="none" w:sz="0" w:space="0" w:color="auto"/>
          </w:divBdr>
        </w:div>
        <w:div w:id="207377189">
          <w:marLeft w:val="1166"/>
          <w:marRight w:val="0"/>
          <w:marTop w:val="48"/>
          <w:marBottom w:val="0"/>
          <w:divBdr>
            <w:top w:val="none" w:sz="0" w:space="0" w:color="auto"/>
            <w:left w:val="none" w:sz="0" w:space="0" w:color="auto"/>
            <w:bottom w:val="none" w:sz="0" w:space="0" w:color="auto"/>
            <w:right w:val="none" w:sz="0" w:space="0" w:color="auto"/>
          </w:divBdr>
        </w:div>
        <w:div w:id="1599680392">
          <w:marLeft w:val="1166"/>
          <w:marRight w:val="0"/>
          <w:marTop w:val="48"/>
          <w:marBottom w:val="0"/>
          <w:divBdr>
            <w:top w:val="none" w:sz="0" w:space="0" w:color="auto"/>
            <w:left w:val="none" w:sz="0" w:space="0" w:color="auto"/>
            <w:bottom w:val="none" w:sz="0" w:space="0" w:color="auto"/>
            <w:right w:val="none" w:sz="0" w:space="0" w:color="auto"/>
          </w:divBdr>
        </w:div>
        <w:div w:id="1759981979">
          <w:marLeft w:val="1166"/>
          <w:marRight w:val="0"/>
          <w:marTop w:val="48"/>
          <w:marBottom w:val="0"/>
          <w:divBdr>
            <w:top w:val="none" w:sz="0" w:space="0" w:color="auto"/>
            <w:left w:val="none" w:sz="0" w:space="0" w:color="auto"/>
            <w:bottom w:val="none" w:sz="0" w:space="0" w:color="auto"/>
            <w:right w:val="none" w:sz="0" w:space="0" w:color="auto"/>
          </w:divBdr>
        </w:div>
        <w:div w:id="2041971443">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1E03-7412-4823-8EE4-75528CFC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27</TotalTime>
  <Pages>1</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Kitto Lisa</cp:lastModifiedBy>
  <cp:revision>4</cp:revision>
  <cp:lastPrinted>2017-09-07T14:55:00Z</cp:lastPrinted>
  <dcterms:created xsi:type="dcterms:W3CDTF">2018-05-21T13:13:00Z</dcterms:created>
  <dcterms:modified xsi:type="dcterms:W3CDTF">2018-05-21T14:59:00Z</dcterms:modified>
</cp:coreProperties>
</file>